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74CFD" w14:textId="77777777" w:rsidR="005567D5" w:rsidRPr="00FE4953" w:rsidRDefault="005567D5" w:rsidP="00621D0E">
      <w:pPr>
        <w:spacing w:after="0" w:line="360" w:lineRule="auto"/>
        <w:jc w:val="center"/>
        <w:rPr>
          <w:rFonts w:ascii="Bookman Old Style" w:eastAsia="Arial" w:hAnsi="Bookman Old Style" w:cs="Times New Roman"/>
          <w:b/>
          <w:bCs/>
          <w:caps/>
          <w:sz w:val="24"/>
          <w:szCs w:val="24"/>
        </w:rPr>
      </w:pPr>
    </w:p>
    <w:p w14:paraId="38C086FF" w14:textId="4D07BC14" w:rsidR="005567D5" w:rsidRPr="00FE4953" w:rsidRDefault="005567D5" w:rsidP="00BB002C">
      <w:pPr>
        <w:jc w:val="both"/>
        <w:rPr>
          <w:rFonts w:ascii="Bookman Old Style" w:hAnsi="Bookman Old Style" w:cs="Times New Roman"/>
          <w:b/>
          <w:caps/>
          <w:sz w:val="24"/>
          <w:szCs w:val="24"/>
        </w:rPr>
      </w:pPr>
    </w:p>
    <w:p w14:paraId="3CC72422" w14:textId="77777777" w:rsidR="005567D5" w:rsidRPr="00FE4953" w:rsidRDefault="005567D5" w:rsidP="00BB002C">
      <w:pPr>
        <w:jc w:val="both"/>
        <w:rPr>
          <w:rFonts w:ascii="Bookman Old Style" w:hAnsi="Bookman Old Style" w:cs="Times New Roman"/>
          <w:b/>
          <w:caps/>
          <w:sz w:val="24"/>
          <w:szCs w:val="24"/>
        </w:rPr>
      </w:pPr>
    </w:p>
    <w:p w14:paraId="35224038" w14:textId="7E0677BC" w:rsidR="000142FC" w:rsidRPr="00FE4953" w:rsidRDefault="000142FC" w:rsidP="00BB002C">
      <w:pPr>
        <w:jc w:val="both"/>
        <w:rPr>
          <w:rFonts w:ascii="Bookman Old Style" w:hAnsi="Bookman Old Style" w:cs="Times New Roman"/>
          <w:b/>
          <w:caps/>
          <w:sz w:val="24"/>
          <w:szCs w:val="24"/>
        </w:rPr>
      </w:pPr>
    </w:p>
    <w:p w14:paraId="592C6DDE" w14:textId="77777777" w:rsidR="000142FC" w:rsidRPr="00FE4953" w:rsidRDefault="000142FC" w:rsidP="00BB002C">
      <w:pPr>
        <w:jc w:val="both"/>
        <w:rPr>
          <w:rFonts w:ascii="Bookman Old Style" w:hAnsi="Bookman Old Style" w:cs="Times New Roman"/>
          <w:b/>
          <w:caps/>
          <w:sz w:val="24"/>
          <w:szCs w:val="24"/>
        </w:rPr>
      </w:pPr>
    </w:p>
    <w:p w14:paraId="05842C7B" w14:textId="278B802A" w:rsidR="000142FC" w:rsidRPr="00FE4953" w:rsidRDefault="000A195A" w:rsidP="00BB002C">
      <w:pPr>
        <w:jc w:val="both"/>
        <w:rPr>
          <w:rFonts w:ascii="Bookman Old Style" w:hAnsi="Bookman Old Style" w:cs="Times New Roman"/>
          <w:b/>
          <w:caps/>
          <w:sz w:val="24"/>
          <w:szCs w:val="24"/>
        </w:rPr>
      </w:pPr>
      <w:r>
        <w:rPr>
          <w:rFonts w:ascii="Bookman Old Style" w:hAnsi="Bookman Old Style" w:cs="Times New Roman"/>
          <w:b/>
          <w:caps/>
          <w:sz w:val="24"/>
          <w:szCs w:val="24"/>
        </w:rPr>
        <w:tab/>
      </w:r>
      <w:r>
        <w:rPr>
          <w:rFonts w:ascii="Bookman Old Style" w:hAnsi="Bookman Old Style" w:cs="Times New Roman"/>
          <w:b/>
          <w:caps/>
          <w:sz w:val="24"/>
          <w:szCs w:val="24"/>
        </w:rPr>
        <w:tab/>
      </w:r>
      <w:r>
        <w:rPr>
          <w:rFonts w:ascii="Bookman Old Style" w:hAnsi="Bookman Old Style" w:cs="Times New Roman"/>
          <w:b/>
          <w:caps/>
          <w:sz w:val="24"/>
          <w:szCs w:val="24"/>
        </w:rPr>
        <w:tab/>
      </w:r>
      <w:r>
        <w:rPr>
          <w:rFonts w:ascii="Bookman Old Style" w:hAnsi="Bookman Old Style" w:cs="Times New Roman"/>
          <w:b/>
          <w:caps/>
          <w:sz w:val="24"/>
          <w:szCs w:val="24"/>
        </w:rPr>
        <w:tab/>
      </w:r>
      <w:r>
        <w:rPr>
          <w:rFonts w:ascii="Bookman Old Style" w:hAnsi="Bookman Old Style" w:cs="Times New Roman"/>
          <w:b/>
          <w:caps/>
          <w:sz w:val="24"/>
          <w:szCs w:val="24"/>
        </w:rPr>
        <w:tab/>
        <w:t xml:space="preserve">ARTICLE </w:t>
      </w:r>
    </w:p>
    <w:p w14:paraId="66F8DC69" w14:textId="77777777" w:rsidR="003B673D" w:rsidRDefault="003B673D" w:rsidP="003B673D">
      <w:pPr>
        <w:spacing w:after="0" w:line="360" w:lineRule="auto"/>
        <w:jc w:val="center"/>
        <w:rPr>
          <w:rFonts w:ascii="Bookman Old Style" w:eastAsia="Arial" w:hAnsi="Bookman Old Style" w:cs="Times New Roman"/>
          <w:b/>
          <w:bCs/>
          <w:caps/>
          <w:sz w:val="24"/>
          <w:szCs w:val="24"/>
        </w:rPr>
      </w:pPr>
      <w:r w:rsidRPr="00FE4953">
        <w:rPr>
          <w:rFonts w:ascii="Bookman Old Style" w:eastAsia="Arial" w:hAnsi="Bookman Old Style" w:cs="Times New Roman"/>
          <w:b/>
          <w:bCs/>
          <w:caps/>
          <w:sz w:val="24"/>
          <w:szCs w:val="24"/>
        </w:rPr>
        <w:t>on recognition and enforcement of foreign arbitral award IN INDIA- an overview</w:t>
      </w:r>
    </w:p>
    <w:p w14:paraId="6E60C6B0" w14:textId="77777777" w:rsidR="000A195A" w:rsidRDefault="000A195A" w:rsidP="003B673D">
      <w:pPr>
        <w:spacing w:after="0" w:line="360" w:lineRule="auto"/>
        <w:jc w:val="center"/>
        <w:rPr>
          <w:rFonts w:ascii="Bookman Old Style" w:eastAsia="Arial" w:hAnsi="Bookman Old Style" w:cs="Times New Roman"/>
          <w:b/>
          <w:bCs/>
          <w:caps/>
          <w:sz w:val="24"/>
          <w:szCs w:val="24"/>
        </w:rPr>
      </w:pPr>
    </w:p>
    <w:p w14:paraId="11B33006" w14:textId="77777777" w:rsidR="000A195A" w:rsidRDefault="000A195A" w:rsidP="003B673D">
      <w:pPr>
        <w:spacing w:after="0" w:line="360" w:lineRule="auto"/>
        <w:jc w:val="center"/>
        <w:rPr>
          <w:rFonts w:ascii="Bookman Old Style" w:eastAsia="Arial" w:hAnsi="Bookman Old Style" w:cs="Times New Roman"/>
          <w:b/>
          <w:bCs/>
          <w:caps/>
          <w:sz w:val="24"/>
          <w:szCs w:val="24"/>
        </w:rPr>
      </w:pPr>
    </w:p>
    <w:p w14:paraId="224600D1" w14:textId="1BD65AAF" w:rsidR="000A195A" w:rsidRDefault="000A195A" w:rsidP="003B673D">
      <w:pPr>
        <w:spacing w:after="0" w:line="360" w:lineRule="auto"/>
        <w:jc w:val="center"/>
        <w:rPr>
          <w:rFonts w:ascii="Bookman Old Style" w:eastAsia="Arial" w:hAnsi="Bookman Old Style" w:cs="Times New Roman"/>
          <w:b/>
          <w:bCs/>
          <w:caps/>
          <w:sz w:val="24"/>
          <w:szCs w:val="24"/>
        </w:rPr>
      </w:pPr>
      <w:r>
        <w:rPr>
          <w:rFonts w:ascii="Bookman Old Style" w:eastAsia="Arial" w:hAnsi="Bookman Old Style" w:cs="Times New Roman"/>
          <w:b/>
          <w:bCs/>
          <w:caps/>
          <w:sz w:val="24"/>
          <w:szCs w:val="24"/>
        </w:rPr>
        <w:t>BY K.GIREESH KUMAR</w:t>
      </w:r>
    </w:p>
    <w:p w14:paraId="61477DB4" w14:textId="77777777" w:rsidR="000627F1" w:rsidRDefault="000A195A" w:rsidP="003B673D">
      <w:pPr>
        <w:spacing w:after="0" w:line="360" w:lineRule="auto"/>
        <w:jc w:val="center"/>
        <w:rPr>
          <w:rFonts w:ascii="Bookman Old Style" w:eastAsia="Arial" w:hAnsi="Bookman Old Style" w:cs="Times New Roman"/>
          <w:b/>
          <w:bCs/>
          <w:caps/>
          <w:sz w:val="24"/>
          <w:szCs w:val="24"/>
        </w:rPr>
      </w:pPr>
      <w:r>
        <w:rPr>
          <w:rFonts w:ascii="Bookman Old Style" w:eastAsia="Arial" w:hAnsi="Bookman Old Style" w:cs="Times New Roman"/>
          <w:b/>
          <w:bCs/>
          <w:caps/>
          <w:sz w:val="24"/>
          <w:szCs w:val="24"/>
        </w:rPr>
        <w:t>ADVOCATE, SUPREME COURT</w:t>
      </w:r>
    </w:p>
    <w:p w14:paraId="729A12F6" w14:textId="34C7AB74" w:rsidR="000A195A" w:rsidRDefault="000627F1" w:rsidP="003B673D">
      <w:pPr>
        <w:spacing w:after="0" w:line="360" w:lineRule="auto"/>
        <w:jc w:val="center"/>
        <w:rPr>
          <w:rFonts w:ascii="Bookman Old Style" w:eastAsia="Arial" w:hAnsi="Bookman Old Style" w:cs="Times New Roman"/>
          <w:b/>
          <w:bCs/>
          <w:caps/>
          <w:sz w:val="24"/>
          <w:szCs w:val="24"/>
        </w:rPr>
      </w:pPr>
      <w:r>
        <w:rPr>
          <w:rFonts w:ascii="Bookman Old Style" w:eastAsia="Arial" w:hAnsi="Bookman Old Style" w:cs="Times New Roman"/>
          <w:b/>
          <w:bCs/>
          <w:caps/>
          <w:sz w:val="24"/>
          <w:szCs w:val="24"/>
        </w:rPr>
        <w:t>(advgireesh@gmail.com)</w:t>
      </w:r>
      <w:r w:rsidR="000A195A">
        <w:rPr>
          <w:rFonts w:ascii="Bookman Old Style" w:eastAsia="Arial" w:hAnsi="Bookman Old Style" w:cs="Times New Roman"/>
          <w:b/>
          <w:bCs/>
          <w:caps/>
          <w:sz w:val="24"/>
          <w:szCs w:val="24"/>
        </w:rPr>
        <w:t xml:space="preserve"> </w:t>
      </w:r>
    </w:p>
    <w:p w14:paraId="04446330" w14:textId="5538EDD8" w:rsidR="000A195A" w:rsidRPr="00FE4953" w:rsidRDefault="000A195A" w:rsidP="003B673D">
      <w:pPr>
        <w:spacing w:after="0" w:line="360" w:lineRule="auto"/>
        <w:jc w:val="center"/>
        <w:rPr>
          <w:rFonts w:ascii="Bookman Old Style" w:eastAsia="Arial" w:hAnsi="Bookman Old Style" w:cs="Times New Roman"/>
          <w:b/>
          <w:bCs/>
          <w:caps/>
          <w:sz w:val="24"/>
          <w:szCs w:val="24"/>
        </w:rPr>
      </w:pPr>
    </w:p>
    <w:p w14:paraId="7B5D871A" w14:textId="77777777" w:rsidR="000142FC" w:rsidRPr="00FE4953" w:rsidRDefault="000142FC" w:rsidP="000142FC">
      <w:pPr>
        <w:spacing w:line="214" w:lineRule="exact"/>
        <w:rPr>
          <w:rFonts w:ascii="Bookman Old Style" w:hAnsi="Bookman Old Style" w:cs="Times New Roman"/>
          <w:sz w:val="24"/>
          <w:szCs w:val="24"/>
        </w:rPr>
      </w:pPr>
      <w:bookmarkStart w:id="0" w:name="_GoBack"/>
      <w:bookmarkEnd w:id="0"/>
    </w:p>
    <w:p w14:paraId="4E14DD17" w14:textId="77777777" w:rsidR="000142FC" w:rsidRPr="00FE4953" w:rsidRDefault="000142FC" w:rsidP="000142FC">
      <w:pPr>
        <w:spacing w:after="0" w:line="360" w:lineRule="auto"/>
        <w:ind w:right="-379"/>
        <w:jc w:val="center"/>
        <w:rPr>
          <w:rFonts w:ascii="Bookman Old Style" w:eastAsia="Times New Roman" w:hAnsi="Bookman Old Style" w:cs="Times New Roman"/>
          <w:sz w:val="24"/>
          <w:szCs w:val="24"/>
        </w:rPr>
      </w:pPr>
    </w:p>
    <w:p w14:paraId="1172A3E2" w14:textId="77777777" w:rsidR="000142FC" w:rsidRPr="00FE4953" w:rsidRDefault="000142FC" w:rsidP="000142FC">
      <w:pPr>
        <w:spacing w:after="0" w:line="360" w:lineRule="auto"/>
        <w:ind w:right="-379"/>
        <w:jc w:val="center"/>
        <w:rPr>
          <w:rFonts w:ascii="Bookman Old Style" w:eastAsia="Times New Roman" w:hAnsi="Bookman Old Style" w:cs="Times New Roman"/>
          <w:sz w:val="24"/>
          <w:szCs w:val="24"/>
        </w:rPr>
      </w:pPr>
    </w:p>
    <w:p w14:paraId="7B9BB4A9" w14:textId="77777777" w:rsidR="000142FC" w:rsidRPr="00FE4953" w:rsidRDefault="000142FC" w:rsidP="000142FC">
      <w:pPr>
        <w:ind w:right="-359"/>
        <w:jc w:val="center"/>
        <w:rPr>
          <w:rFonts w:ascii="Bookman Old Style" w:eastAsia="Times New Roman" w:hAnsi="Bookman Old Style" w:cs="Times New Roman"/>
          <w:sz w:val="24"/>
          <w:szCs w:val="24"/>
        </w:rPr>
      </w:pPr>
    </w:p>
    <w:p w14:paraId="1F6EA431" w14:textId="77777777" w:rsidR="000142FC" w:rsidRPr="00FE4953" w:rsidRDefault="000142FC" w:rsidP="000142FC">
      <w:pPr>
        <w:spacing w:line="200" w:lineRule="exact"/>
        <w:rPr>
          <w:rFonts w:ascii="Bookman Old Style" w:hAnsi="Bookman Old Style" w:cs="Times New Roman"/>
          <w:sz w:val="24"/>
          <w:szCs w:val="24"/>
        </w:rPr>
      </w:pPr>
    </w:p>
    <w:p w14:paraId="729DBBBF" w14:textId="28F86983" w:rsidR="000142FC" w:rsidRPr="00FE4953" w:rsidRDefault="000142FC" w:rsidP="000142FC">
      <w:pPr>
        <w:spacing w:line="200" w:lineRule="exact"/>
        <w:rPr>
          <w:rFonts w:ascii="Bookman Old Style" w:hAnsi="Bookman Old Style" w:cs="Times New Roman"/>
          <w:sz w:val="24"/>
          <w:szCs w:val="24"/>
        </w:rPr>
      </w:pPr>
    </w:p>
    <w:p w14:paraId="28388753" w14:textId="77777777" w:rsidR="000142FC" w:rsidRPr="00FE4953" w:rsidRDefault="000142FC" w:rsidP="000142FC">
      <w:pPr>
        <w:spacing w:line="242" w:lineRule="exact"/>
        <w:jc w:val="center"/>
        <w:rPr>
          <w:rFonts w:ascii="Bookman Old Style" w:hAnsi="Bookman Old Style" w:cs="Times New Roman"/>
          <w:sz w:val="24"/>
          <w:szCs w:val="24"/>
        </w:rPr>
      </w:pPr>
    </w:p>
    <w:p w14:paraId="1BAC3539" w14:textId="77777777" w:rsidR="000142FC" w:rsidRPr="00FE4953" w:rsidRDefault="000142FC" w:rsidP="000142FC">
      <w:pPr>
        <w:spacing w:line="242" w:lineRule="exact"/>
        <w:jc w:val="center"/>
        <w:rPr>
          <w:rFonts w:ascii="Bookman Old Style" w:hAnsi="Bookman Old Style" w:cs="Times New Roman"/>
          <w:sz w:val="24"/>
          <w:szCs w:val="24"/>
        </w:rPr>
      </w:pPr>
    </w:p>
    <w:p w14:paraId="38829CC8" w14:textId="77777777" w:rsidR="000142FC" w:rsidRPr="00FE4953" w:rsidRDefault="000142FC" w:rsidP="000142FC">
      <w:pPr>
        <w:spacing w:line="242" w:lineRule="exact"/>
        <w:jc w:val="center"/>
        <w:rPr>
          <w:rFonts w:ascii="Bookman Old Style" w:hAnsi="Bookman Old Style" w:cs="Times New Roman"/>
          <w:sz w:val="24"/>
          <w:szCs w:val="24"/>
        </w:rPr>
      </w:pPr>
    </w:p>
    <w:p w14:paraId="05C56CAB" w14:textId="77777777" w:rsidR="000142FC" w:rsidRPr="00FE4953" w:rsidRDefault="000142FC" w:rsidP="000142FC">
      <w:pPr>
        <w:spacing w:line="242" w:lineRule="exact"/>
        <w:jc w:val="center"/>
        <w:rPr>
          <w:rFonts w:ascii="Bookman Old Style" w:hAnsi="Bookman Old Style" w:cs="Times New Roman"/>
          <w:sz w:val="24"/>
          <w:szCs w:val="24"/>
        </w:rPr>
      </w:pPr>
    </w:p>
    <w:p w14:paraId="0E0C8A7D" w14:textId="4D631D1D" w:rsidR="00BB002C" w:rsidRPr="00FE4953" w:rsidRDefault="000142FC" w:rsidP="00EF698D">
      <w:pPr>
        <w:rPr>
          <w:rFonts w:ascii="Bookman Old Style" w:hAnsi="Bookman Old Style" w:cs="Times New Roman"/>
          <w:sz w:val="24"/>
          <w:szCs w:val="24"/>
        </w:rPr>
      </w:pPr>
      <w:r w:rsidRPr="00FE4953">
        <w:rPr>
          <w:rFonts w:ascii="Bookman Old Style" w:hAnsi="Bookman Old Style" w:cs="Times New Roman"/>
          <w:sz w:val="24"/>
          <w:szCs w:val="24"/>
        </w:rPr>
        <w:br w:type="page"/>
      </w:r>
      <w:r w:rsidR="000A195A">
        <w:rPr>
          <w:rFonts w:ascii="Bookman Old Style" w:hAnsi="Bookman Old Style" w:cs="Times New Roman"/>
          <w:sz w:val="24"/>
          <w:szCs w:val="24"/>
        </w:rPr>
        <w:lastRenderedPageBreak/>
        <w:tab/>
      </w:r>
      <w:r w:rsidR="000A195A">
        <w:rPr>
          <w:rFonts w:ascii="Bookman Old Style" w:hAnsi="Bookman Old Style" w:cs="Times New Roman"/>
          <w:sz w:val="24"/>
          <w:szCs w:val="24"/>
        </w:rPr>
        <w:tab/>
      </w:r>
    </w:p>
    <w:p w14:paraId="31D4D4E9" w14:textId="300E3975" w:rsidR="00921083" w:rsidRPr="00FE4953" w:rsidRDefault="00604CCA" w:rsidP="00604CCA">
      <w:pPr>
        <w:ind w:left="1440" w:firstLine="720"/>
        <w:jc w:val="both"/>
        <w:rPr>
          <w:rFonts w:ascii="Bookman Old Style" w:hAnsi="Bookman Old Style" w:cs="Times New Roman"/>
          <w:b/>
          <w:caps/>
          <w:sz w:val="24"/>
          <w:szCs w:val="24"/>
        </w:rPr>
      </w:pPr>
      <w:r w:rsidRPr="00FE4953">
        <w:rPr>
          <w:rFonts w:ascii="Bookman Old Style" w:hAnsi="Bookman Old Style" w:cs="Times New Roman"/>
          <w:b/>
          <w:caps/>
          <w:sz w:val="24"/>
          <w:szCs w:val="24"/>
        </w:rPr>
        <w:t>table of contents</w:t>
      </w:r>
    </w:p>
    <w:p w14:paraId="54DAB25A" w14:textId="6BE3814D" w:rsidR="00550C54" w:rsidRPr="00F17C4E" w:rsidRDefault="00550C54" w:rsidP="00F17C4E">
      <w:pPr>
        <w:spacing w:line="480" w:lineRule="auto"/>
        <w:jc w:val="both"/>
        <w:rPr>
          <w:rFonts w:ascii="Bookman Old Style" w:hAnsi="Bookman Old Style"/>
          <w:b/>
          <w:sz w:val="24"/>
          <w:szCs w:val="24"/>
        </w:rPr>
      </w:pPr>
    </w:p>
    <w:p w14:paraId="72129140" w14:textId="7F7CDBF1" w:rsidR="00F17C4E" w:rsidRPr="00586EB6" w:rsidRDefault="00F17C4E" w:rsidP="00F17C4E">
      <w:pPr>
        <w:pStyle w:val="ListParagraph"/>
        <w:numPr>
          <w:ilvl w:val="0"/>
          <w:numId w:val="28"/>
        </w:numPr>
        <w:spacing w:line="480" w:lineRule="auto"/>
        <w:jc w:val="both"/>
        <w:rPr>
          <w:sz w:val="28"/>
          <w:szCs w:val="28"/>
        </w:rPr>
      </w:pPr>
      <w:r w:rsidRPr="00586EB6">
        <w:rPr>
          <w:sz w:val="28"/>
          <w:szCs w:val="28"/>
        </w:rPr>
        <w:t>Synopsis</w:t>
      </w:r>
    </w:p>
    <w:p w14:paraId="740E97D8" w14:textId="452645FD" w:rsidR="00F17C4E" w:rsidRPr="00586EB6" w:rsidRDefault="00F17C4E" w:rsidP="00F17C4E">
      <w:pPr>
        <w:pStyle w:val="ListParagraph"/>
        <w:numPr>
          <w:ilvl w:val="0"/>
          <w:numId w:val="28"/>
        </w:numPr>
        <w:spacing w:line="480" w:lineRule="auto"/>
        <w:jc w:val="both"/>
        <w:rPr>
          <w:sz w:val="28"/>
          <w:szCs w:val="28"/>
        </w:rPr>
      </w:pPr>
      <w:r w:rsidRPr="00586EB6">
        <w:rPr>
          <w:sz w:val="28"/>
          <w:szCs w:val="28"/>
        </w:rPr>
        <w:t>Introduction</w:t>
      </w:r>
    </w:p>
    <w:p w14:paraId="6EE43DDD" w14:textId="60337392" w:rsidR="00F17C4E" w:rsidRPr="00586EB6" w:rsidRDefault="00F17C4E" w:rsidP="00F17C4E">
      <w:pPr>
        <w:pStyle w:val="ListParagraph"/>
        <w:numPr>
          <w:ilvl w:val="0"/>
          <w:numId w:val="28"/>
        </w:numPr>
        <w:spacing w:line="480" w:lineRule="auto"/>
        <w:jc w:val="both"/>
        <w:rPr>
          <w:sz w:val="28"/>
          <w:szCs w:val="28"/>
        </w:rPr>
      </w:pPr>
      <w:r w:rsidRPr="00586EB6">
        <w:rPr>
          <w:sz w:val="28"/>
          <w:szCs w:val="28"/>
        </w:rPr>
        <w:t>HISTORICAL BACKGROUND</w:t>
      </w:r>
    </w:p>
    <w:p w14:paraId="18B1EB15" w14:textId="77777777" w:rsidR="00F17C4E" w:rsidRPr="00586EB6" w:rsidRDefault="00F17C4E" w:rsidP="00F17C4E">
      <w:pPr>
        <w:pStyle w:val="ListParagraph"/>
        <w:numPr>
          <w:ilvl w:val="0"/>
          <w:numId w:val="28"/>
        </w:numPr>
        <w:spacing w:line="360" w:lineRule="auto"/>
        <w:jc w:val="both"/>
        <w:rPr>
          <w:sz w:val="28"/>
          <w:szCs w:val="28"/>
        </w:rPr>
      </w:pPr>
      <w:r w:rsidRPr="00586EB6">
        <w:rPr>
          <w:sz w:val="28"/>
          <w:szCs w:val="28"/>
        </w:rPr>
        <w:t>POSITION PRIOR TO AMENDMENT ACT - 2015</w:t>
      </w:r>
    </w:p>
    <w:p w14:paraId="30E58CF8" w14:textId="35061C53" w:rsidR="00F17C4E" w:rsidRPr="00586EB6" w:rsidRDefault="00F17C4E" w:rsidP="00F17C4E">
      <w:pPr>
        <w:pStyle w:val="ListParagraph"/>
        <w:numPr>
          <w:ilvl w:val="0"/>
          <w:numId w:val="28"/>
        </w:numPr>
        <w:spacing w:line="480" w:lineRule="auto"/>
        <w:jc w:val="both"/>
        <w:rPr>
          <w:sz w:val="28"/>
          <w:szCs w:val="28"/>
        </w:rPr>
      </w:pPr>
      <w:r w:rsidRPr="00586EB6">
        <w:rPr>
          <w:sz w:val="28"/>
          <w:szCs w:val="28"/>
        </w:rPr>
        <w:t>246</w:t>
      </w:r>
      <w:r w:rsidRPr="00586EB6">
        <w:rPr>
          <w:sz w:val="28"/>
          <w:szCs w:val="28"/>
          <w:vertAlign w:val="superscript"/>
        </w:rPr>
        <w:t>th</w:t>
      </w:r>
      <w:r w:rsidRPr="00586EB6">
        <w:rPr>
          <w:sz w:val="28"/>
          <w:szCs w:val="28"/>
        </w:rPr>
        <w:t xml:space="preserve">  LAW COMMISSION REPORT</w:t>
      </w:r>
    </w:p>
    <w:p w14:paraId="468C826D" w14:textId="77777777" w:rsidR="00F17C4E" w:rsidRPr="00586EB6" w:rsidRDefault="00F17C4E" w:rsidP="00F17C4E">
      <w:pPr>
        <w:pStyle w:val="ListParagraph"/>
        <w:numPr>
          <w:ilvl w:val="0"/>
          <w:numId w:val="28"/>
        </w:numPr>
        <w:spacing w:line="360" w:lineRule="auto"/>
        <w:jc w:val="both"/>
        <w:rPr>
          <w:sz w:val="28"/>
          <w:szCs w:val="28"/>
        </w:rPr>
      </w:pPr>
      <w:r w:rsidRPr="00586EB6">
        <w:rPr>
          <w:sz w:val="28"/>
          <w:szCs w:val="28"/>
        </w:rPr>
        <w:t>POST AMENDMENT 2015</w:t>
      </w:r>
    </w:p>
    <w:p w14:paraId="228EAFD5" w14:textId="77777777" w:rsidR="00F17C4E" w:rsidRPr="00586EB6" w:rsidRDefault="00F17C4E" w:rsidP="00F17C4E">
      <w:pPr>
        <w:pStyle w:val="ListParagraph"/>
        <w:numPr>
          <w:ilvl w:val="0"/>
          <w:numId w:val="28"/>
        </w:numPr>
        <w:spacing w:line="360" w:lineRule="auto"/>
        <w:jc w:val="both"/>
        <w:rPr>
          <w:sz w:val="28"/>
          <w:szCs w:val="28"/>
          <w:shd w:val="clear" w:color="auto" w:fill="FFFFFF"/>
        </w:rPr>
      </w:pPr>
      <w:r w:rsidRPr="00586EB6">
        <w:rPr>
          <w:sz w:val="28"/>
          <w:szCs w:val="28"/>
          <w:shd w:val="clear" w:color="auto" w:fill="FFFFFF"/>
        </w:rPr>
        <w:t>The Public Policy and Foreign Award  :-The Section 34 and 48 of the Act</w:t>
      </w:r>
    </w:p>
    <w:p w14:paraId="238E185C" w14:textId="0B044860" w:rsidR="00F17C4E" w:rsidRPr="00586EB6" w:rsidRDefault="00621115" w:rsidP="00F17C4E">
      <w:pPr>
        <w:pStyle w:val="ListParagraph"/>
        <w:numPr>
          <w:ilvl w:val="0"/>
          <w:numId w:val="28"/>
        </w:numPr>
        <w:spacing w:line="360" w:lineRule="auto"/>
        <w:jc w:val="both"/>
        <w:rPr>
          <w:sz w:val="28"/>
          <w:szCs w:val="28"/>
        </w:rPr>
      </w:pPr>
      <w:r>
        <w:rPr>
          <w:sz w:val="28"/>
          <w:szCs w:val="28"/>
        </w:rPr>
        <w:t>VIJAY KARIA CASE AND ITS IMPACT</w:t>
      </w:r>
    </w:p>
    <w:p w14:paraId="32BAE268" w14:textId="07B252F9" w:rsidR="00F17C4E" w:rsidRPr="00586EB6" w:rsidRDefault="00F17C4E" w:rsidP="00F17C4E">
      <w:pPr>
        <w:pStyle w:val="ListParagraph"/>
        <w:numPr>
          <w:ilvl w:val="0"/>
          <w:numId w:val="28"/>
        </w:numPr>
        <w:spacing w:line="480" w:lineRule="auto"/>
        <w:jc w:val="both"/>
        <w:rPr>
          <w:sz w:val="28"/>
          <w:szCs w:val="28"/>
        </w:rPr>
      </w:pPr>
      <w:r w:rsidRPr="00586EB6">
        <w:rPr>
          <w:sz w:val="28"/>
          <w:szCs w:val="28"/>
        </w:rPr>
        <w:t>CONCLUSION</w:t>
      </w:r>
    </w:p>
    <w:p w14:paraId="5F15A3BC" w14:textId="77777777" w:rsidR="00BB002C" w:rsidRPr="00586EB6" w:rsidRDefault="00BB002C" w:rsidP="008D57C7">
      <w:pPr>
        <w:spacing w:line="480" w:lineRule="auto"/>
        <w:jc w:val="both"/>
        <w:rPr>
          <w:rFonts w:ascii="Times New Roman" w:hAnsi="Times New Roman" w:cs="Times New Roman"/>
          <w:caps/>
          <w:sz w:val="28"/>
          <w:szCs w:val="28"/>
        </w:rPr>
      </w:pPr>
    </w:p>
    <w:p w14:paraId="32837712" w14:textId="77777777" w:rsidR="008D57C7" w:rsidRPr="00FE4953" w:rsidRDefault="008D57C7" w:rsidP="008D57C7">
      <w:pPr>
        <w:spacing w:line="480" w:lineRule="auto"/>
        <w:rPr>
          <w:rFonts w:ascii="Bookman Old Style" w:hAnsi="Bookman Old Style" w:cs="Times New Roman"/>
          <w:b/>
          <w:caps/>
          <w:sz w:val="24"/>
          <w:szCs w:val="24"/>
        </w:rPr>
      </w:pPr>
    </w:p>
    <w:p w14:paraId="787BC667" w14:textId="77777777" w:rsidR="008D57C7" w:rsidRPr="00FE4953" w:rsidRDefault="008D57C7" w:rsidP="008D57C7">
      <w:pPr>
        <w:spacing w:line="480" w:lineRule="auto"/>
        <w:rPr>
          <w:rFonts w:ascii="Bookman Old Style" w:hAnsi="Bookman Old Style" w:cs="Times New Roman"/>
          <w:b/>
          <w:caps/>
          <w:sz w:val="24"/>
          <w:szCs w:val="24"/>
        </w:rPr>
      </w:pPr>
    </w:p>
    <w:p w14:paraId="3F774797" w14:textId="77777777" w:rsidR="008D57C7" w:rsidRPr="00FE4953" w:rsidRDefault="008D57C7" w:rsidP="008D57C7">
      <w:pPr>
        <w:spacing w:line="480" w:lineRule="auto"/>
        <w:rPr>
          <w:rFonts w:ascii="Bookman Old Style" w:hAnsi="Bookman Old Style" w:cs="Times New Roman"/>
          <w:b/>
          <w:caps/>
          <w:sz w:val="24"/>
          <w:szCs w:val="24"/>
        </w:rPr>
      </w:pPr>
    </w:p>
    <w:p w14:paraId="5E025487" w14:textId="77777777" w:rsidR="008D57C7" w:rsidRPr="00FE4953" w:rsidRDefault="008D57C7" w:rsidP="008D57C7">
      <w:pPr>
        <w:spacing w:line="480" w:lineRule="auto"/>
        <w:rPr>
          <w:rFonts w:ascii="Bookman Old Style" w:hAnsi="Bookman Old Style" w:cs="Times New Roman"/>
          <w:b/>
          <w:caps/>
          <w:sz w:val="24"/>
          <w:szCs w:val="24"/>
        </w:rPr>
      </w:pPr>
    </w:p>
    <w:p w14:paraId="1A71B5BB" w14:textId="77777777" w:rsidR="008D57C7" w:rsidRPr="00FE4953" w:rsidRDefault="008D57C7" w:rsidP="008D57C7">
      <w:pPr>
        <w:spacing w:line="480" w:lineRule="auto"/>
        <w:rPr>
          <w:rFonts w:ascii="Bookman Old Style" w:hAnsi="Bookman Old Style" w:cs="Times New Roman"/>
          <w:b/>
          <w:caps/>
          <w:sz w:val="24"/>
          <w:szCs w:val="24"/>
        </w:rPr>
      </w:pPr>
    </w:p>
    <w:p w14:paraId="175595FC" w14:textId="77777777" w:rsidR="008D57C7" w:rsidRPr="00FE4953" w:rsidRDefault="008D57C7" w:rsidP="008D57C7">
      <w:pPr>
        <w:spacing w:line="480" w:lineRule="auto"/>
        <w:rPr>
          <w:rFonts w:ascii="Bookman Old Style" w:hAnsi="Bookman Old Style" w:cs="Times New Roman"/>
          <w:b/>
          <w:caps/>
          <w:sz w:val="24"/>
          <w:szCs w:val="24"/>
        </w:rPr>
      </w:pPr>
    </w:p>
    <w:p w14:paraId="4967B039" w14:textId="77777777" w:rsidR="008D57C7" w:rsidRPr="00FE4953" w:rsidRDefault="008D57C7" w:rsidP="008D57C7">
      <w:pPr>
        <w:spacing w:line="480" w:lineRule="auto"/>
        <w:rPr>
          <w:rFonts w:ascii="Bookman Old Style" w:hAnsi="Bookman Old Style" w:cs="Times New Roman"/>
          <w:b/>
          <w:caps/>
          <w:sz w:val="24"/>
          <w:szCs w:val="24"/>
        </w:rPr>
      </w:pPr>
    </w:p>
    <w:p w14:paraId="29E06615" w14:textId="77777777" w:rsidR="008D57C7" w:rsidRPr="00FE4953" w:rsidRDefault="008D57C7" w:rsidP="008D57C7">
      <w:pPr>
        <w:spacing w:line="480" w:lineRule="auto"/>
        <w:rPr>
          <w:rFonts w:ascii="Bookman Old Style" w:hAnsi="Bookman Old Style" w:cs="Times New Roman"/>
          <w:b/>
          <w:caps/>
          <w:sz w:val="24"/>
          <w:szCs w:val="24"/>
        </w:rPr>
      </w:pPr>
    </w:p>
    <w:p w14:paraId="20B8F245" w14:textId="77777777" w:rsidR="008D57C7" w:rsidRPr="00FE4953" w:rsidRDefault="008D57C7" w:rsidP="008D57C7">
      <w:pPr>
        <w:spacing w:line="480" w:lineRule="auto"/>
        <w:rPr>
          <w:rFonts w:ascii="Bookman Old Style" w:hAnsi="Bookman Old Style" w:cs="Times New Roman"/>
          <w:b/>
          <w:caps/>
          <w:sz w:val="24"/>
          <w:szCs w:val="24"/>
        </w:rPr>
      </w:pPr>
    </w:p>
    <w:p w14:paraId="72331535" w14:textId="77777777" w:rsidR="008D57C7" w:rsidRPr="00FE4953" w:rsidRDefault="008D57C7" w:rsidP="008D57C7">
      <w:pPr>
        <w:spacing w:line="480" w:lineRule="auto"/>
        <w:rPr>
          <w:rFonts w:ascii="Bookman Old Style" w:hAnsi="Bookman Old Style" w:cs="Times New Roman"/>
          <w:b/>
          <w:caps/>
          <w:sz w:val="24"/>
          <w:szCs w:val="24"/>
        </w:rPr>
      </w:pPr>
    </w:p>
    <w:p w14:paraId="5C3745FA" w14:textId="2385AD52" w:rsidR="00BB002C" w:rsidRPr="00FE4953" w:rsidRDefault="00CC009C" w:rsidP="008D57C7">
      <w:pPr>
        <w:spacing w:line="480" w:lineRule="auto"/>
        <w:rPr>
          <w:rFonts w:ascii="Bookman Old Style" w:hAnsi="Bookman Old Style" w:cs="Times New Roman"/>
          <w:b/>
          <w:caps/>
          <w:sz w:val="24"/>
          <w:szCs w:val="24"/>
        </w:rPr>
      </w:pPr>
      <w:r w:rsidRPr="00FE4953">
        <w:rPr>
          <w:rFonts w:ascii="Bookman Old Style" w:hAnsi="Bookman Old Style" w:cs="Times New Roman"/>
          <w:b/>
          <w:caps/>
          <w:sz w:val="24"/>
          <w:szCs w:val="24"/>
        </w:rPr>
        <w:t>synopsis</w:t>
      </w:r>
    </w:p>
    <w:p w14:paraId="3EF50425" w14:textId="77777777" w:rsidR="00FE4953" w:rsidRPr="00FE4953" w:rsidRDefault="00FE4953" w:rsidP="00FE4953">
      <w:pPr>
        <w:spacing w:line="360" w:lineRule="auto"/>
        <w:jc w:val="both"/>
        <w:rPr>
          <w:rFonts w:ascii="Times New Roman" w:hAnsi="Times New Roman" w:cs="Times New Roman"/>
          <w:sz w:val="28"/>
          <w:szCs w:val="28"/>
        </w:rPr>
      </w:pPr>
      <w:r w:rsidRPr="00FE4953">
        <w:rPr>
          <w:rFonts w:ascii="Times New Roman" w:hAnsi="Times New Roman" w:cs="Times New Roman"/>
          <w:sz w:val="28"/>
          <w:szCs w:val="28"/>
        </w:rPr>
        <w:t xml:space="preserve">The history of the Enforcement of Foreign Awards paved   way to </w:t>
      </w:r>
      <w:proofErr w:type="gramStart"/>
      <w:r w:rsidRPr="00FE4953">
        <w:rPr>
          <w:rFonts w:ascii="Times New Roman" w:hAnsi="Times New Roman" w:cs="Times New Roman"/>
          <w:sz w:val="28"/>
          <w:szCs w:val="28"/>
        </w:rPr>
        <w:t>various  enactment</w:t>
      </w:r>
      <w:proofErr w:type="gramEnd"/>
      <w:r w:rsidRPr="00FE4953">
        <w:rPr>
          <w:rFonts w:ascii="Times New Roman" w:hAnsi="Times New Roman" w:cs="Times New Roman"/>
          <w:sz w:val="28"/>
          <w:szCs w:val="28"/>
        </w:rPr>
        <w:t xml:space="preserve"> of  special Act  such as  The Foreign Awards ( Recognition and Enforcement) Act-1961 to recent landmark judgments like Vijay </w:t>
      </w:r>
      <w:proofErr w:type="spellStart"/>
      <w:r w:rsidRPr="00FE4953">
        <w:rPr>
          <w:rFonts w:ascii="Times New Roman" w:hAnsi="Times New Roman" w:cs="Times New Roman"/>
          <w:sz w:val="28"/>
          <w:szCs w:val="28"/>
        </w:rPr>
        <w:t>Karia</w:t>
      </w:r>
      <w:proofErr w:type="spellEnd"/>
      <w:r w:rsidRPr="00FE4953">
        <w:rPr>
          <w:rFonts w:ascii="Times New Roman" w:hAnsi="Times New Roman" w:cs="Times New Roman"/>
          <w:sz w:val="28"/>
          <w:szCs w:val="28"/>
        </w:rPr>
        <w:t xml:space="preserve"> &amp; </w:t>
      </w:r>
      <w:proofErr w:type="spellStart"/>
      <w:r w:rsidRPr="00FE4953">
        <w:rPr>
          <w:rFonts w:ascii="Times New Roman" w:hAnsi="Times New Roman" w:cs="Times New Roman"/>
          <w:sz w:val="28"/>
          <w:szCs w:val="28"/>
        </w:rPr>
        <w:t>Ors</w:t>
      </w:r>
      <w:proofErr w:type="spellEnd"/>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Vs</w:t>
      </w:r>
      <w:proofErr w:type="spellEnd"/>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Prysman</w:t>
      </w:r>
      <w:proofErr w:type="spellEnd"/>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Cavi</w:t>
      </w:r>
      <w:proofErr w:type="spellEnd"/>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Sisterni</w:t>
      </w:r>
      <w:proofErr w:type="spellEnd"/>
      <w:r w:rsidRPr="00FE4953">
        <w:rPr>
          <w:rFonts w:ascii="Times New Roman" w:hAnsi="Times New Roman" w:cs="Times New Roman"/>
          <w:sz w:val="28"/>
          <w:szCs w:val="28"/>
        </w:rPr>
        <w:t xml:space="preserve"> SRL &amp; </w:t>
      </w:r>
      <w:proofErr w:type="spellStart"/>
      <w:r w:rsidRPr="00FE4953">
        <w:rPr>
          <w:rFonts w:ascii="Times New Roman" w:hAnsi="Times New Roman" w:cs="Times New Roman"/>
          <w:sz w:val="28"/>
          <w:szCs w:val="28"/>
        </w:rPr>
        <w:t>Ors</w:t>
      </w:r>
      <w:proofErr w:type="spellEnd"/>
      <w:r w:rsidRPr="00FE4953">
        <w:rPr>
          <w:rFonts w:ascii="Times New Roman" w:hAnsi="Times New Roman" w:cs="Times New Roman"/>
          <w:sz w:val="28"/>
          <w:szCs w:val="28"/>
        </w:rPr>
        <w:t xml:space="preserve"> </w:t>
      </w:r>
      <w:r w:rsidRPr="00FE4953">
        <w:rPr>
          <w:rStyle w:val="FootnoteReference"/>
          <w:rFonts w:ascii="Times New Roman" w:hAnsi="Times New Roman" w:cs="Times New Roman"/>
          <w:sz w:val="28"/>
          <w:szCs w:val="28"/>
        </w:rPr>
        <w:footnoteReference w:id="1"/>
      </w:r>
      <w:r w:rsidRPr="00FE4953">
        <w:rPr>
          <w:rFonts w:ascii="Times New Roman" w:hAnsi="Times New Roman" w:cs="Times New Roman"/>
          <w:sz w:val="28"/>
          <w:szCs w:val="28"/>
        </w:rPr>
        <w:t xml:space="preserve">. Since it is being the complex </w:t>
      </w:r>
      <w:proofErr w:type="gramStart"/>
      <w:r w:rsidRPr="00FE4953">
        <w:rPr>
          <w:rFonts w:ascii="Times New Roman" w:hAnsi="Times New Roman" w:cs="Times New Roman"/>
          <w:sz w:val="28"/>
          <w:szCs w:val="28"/>
        </w:rPr>
        <w:t>issue ,</w:t>
      </w:r>
      <w:proofErr w:type="gramEnd"/>
      <w:r w:rsidRPr="00FE4953">
        <w:rPr>
          <w:rFonts w:ascii="Times New Roman" w:hAnsi="Times New Roman" w:cs="Times New Roman"/>
          <w:sz w:val="28"/>
          <w:szCs w:val="28"/>
        </w:rPr>
        <w:t xml:space="preserve"> the </w:t>
      </w:r>
      <w:proofErr w:type="spellStart"/>
      <w:r w:rsidRPr="00FE4953">
        <w:rPr>
          <w:rFonts w:ascii="Times New Roman" w:hAnsi="Times New Roman" w:cs="Times New Roman"/>
          <w:sz w:val="28"/>
          <w:szCs w:val="28"/>
        </w:rPr>
        <w:t>Hon’ble</w:t>
      </w:r>
      <w:proofErr w:type="spellEnd"/>
      <w:r w:rsidRPr="00FE4953">
        <w:rPr>
          <w:rFonts w:ascii="Times New Roman" w:hAnsi="Times New Roman" w:cs="Times New Roman"/>
          <w:sz w:val="28"/>
          <w:szCs w:val="28"/>
        </w:rPr>
        <w:t xml:space="preserve"> Courts has to go through a hair spit check of morality, justice and Public Policy  while Enforcing a </w:t>
      </w:r>
      <w:proofErr w:type="spellStart"/>
      <w:r w:rsidRPr="00FE4953">
        <w:rPr>
          <w:rFonts w:ascii="Times New Roman" w:hAnsi="Times New Roman" w:cs="Times New Roman"/>
          <w:sz w:val="28"/>
          <w:szCs w:val="28"/>
        </w:rPr>
        <w:t>Foriengn</w:t>
      </w:r>
      <w:proofErr w:type="spellEnd"/>
      <w:r w:rsidRPr="00FE4953">
        <w:rPr>
          <w:rFonts w:ascii="Times New Roman" w:hAnsi="Times New Roman" w:cs="Times New Roman"/>
          <w:sz w:val="28"/>
          <w:szCs w:val="28"/>
        </w:rPr>
        <w:t xml:space="preserve"> Arbitration Award in India.</w:t>
      </w:r>
    </w:p>
    <w:p w14:paraId="7C0C9A52" w14:textId="77777777" w:rsidR="00FE4953" w:rsidRPr="00FE4953" w:rsidRDefault="00FE4953" w:rsidP="00FE4953">
      <w:pPr>
        <w:spacing w:line="360" w:lineRule="auto"/>
        <w:jc w:val="both"/>
        <w:rPr>
          <w:rFonts w:ascii="Times New Roman" w:hAnsi="Times New Roman" w:cs="Times New Roman"/>
          <w:sz w:val="28"/>
          <w:szCs w:val="28"/>
        </w:rPr>
      </w:pPr>
      <w:r w:rsidRPr="00FE4953">
        <w:rPr>
          <w:rFonts w:ascii="Times New Roman" w:hAnsi="Times New Roman" w:cs="Times New Roman"/>
          <w:sz w:val="28"/>
          <w:szCs w:val="28"/>
        </w:rPr>
        <w:t xml:space="preserve">The basic purpose of arbitration is to bring about cost-effective and expeditious resolution of disputes and further preventing multiplicity of litigation by giving finality to an arbitral award. The article ambidextrously and comprehensively </w:t>
      </w:r>
      <w:proofErr w:type="spellStart"/>
      <w:r w:rsidRPr="00FE4953">
        <w:rPr>
          <w:rFonts w:ascii="Times New Roman" w:hAnsi="Times New Roman" w:cs="Times New Roman"/>
          <w:sz w:val="28"/>
          <w:szCs w:val="28"/>
        </w:rPr>
        <w:t>analyzes</w:t>
      </w:r>
      <w:proofErr w:type="spellEnd"/>
      <w:r w:rsidRPr="00FE4953">
        <w:rPr>
          <w:rFonts w:ascii="Times New Roman" w:hAnsi="Times New Roman" w:cs="Times New Roman"/>
          <w:sz w:val="28"/>
          <w:szCs w:val="28"/>
        </w:rPr>
        <w:t xml:space="preserve"> India’s Commitment and challenge to the International Arbitration in the era of globalization when the investment by the foreign entities is at the peak.</w:t>
      </w:r>
      <w:r w:rsidRPr="00FE4953">
        <w:rPr>
          <w:rFonts w:ascii="Times New Roman" w:hAnsi="Times New Roman" w:cs="Times New Roman"/>
          <w:sz w:val="28"/>
          <w:szCs w:val="28"/>
        </w:rPr>
        <w:br/>
      </w:r>
      <w:r w:rsidRPr="00FE4953">
        <w:rPr>
          <w:rFonts w:ascii="Times New Roman" w:hAnsi="Times New Roman" w:cs="Times New Roman"/>
          <w:sz w:val="28"/>
          <w:szCs w:val="28"/>
        </w:rPr>
        <w:br/>
        <w:t>Public Policy of India has most important role in the whole process of enforcement of an arbitral awards particularly the foreign awards because it involves parties, lawyers and arbitrators form diverse legal &amp;cultural traditions. Most often the arbitral tribunal consists of arbitrators from multiple jurisdictions &amp; legal traditions different from those of parties and of their council.</w:t>
      </w:r>
    </w:p>
    <w:p w14:paraId="0A894762" w14:textId="77777777" w:rsidR="00FE4953" w:rsidRPr="00FE4953" w:rsidRDefault="00FE4953" w:rsidP="00FE4953">
      <w:pPr>
        <w:spacing w:line="360" w:lineRule="auto"/>
        <w:jc w:val="both"/>
        <w:rPr>
          <w:rFonts w:ascii="Times New Roman" w:hAnsi="Times New Roman" w:cs="Times New Roman"/>
          <w:sz w:val="28"/>
          <w:szCs w:val="28"/>
        </w:rPr>
      </w:pPr>
    </w:p>
    <w:p w14:paraId="13E5DBC5" w14:textId="77777777" w:rsidR="00586EB6" w:rsidRDefault="00586EB6" w:rsidP="00FE4953">
      <w:pPr>
        <w:spacing w:line="360" w:lineRule="auto"/>
        <w:jc w:val="both"/>
        <w:rPr>
          <w:rFonts w:ascii="Times New Roman" w:hAnsi="Times New Roman" w:cs="Times New Roman"/>
          <w:b/>
          <w:sz w:val="28"/>
          <w:szCs w:val="28"/>
        </w:rPr>
      </w:pPr>
    </w:p>
    <w:p w14:paraId="742CDD78" w14:textId="77777777" w:rsidR="00586EB6" w:rsidRDefault="00586EB6" w:rsidP="00FE4953">
      <w:pPr>
        <w:spacing w:line="360" w:lineRule="auto"/>
        <w:jc w:val="both"/>
        <w:rPr>
          <w:rFonts w:ascii="Times New Roman" w:hAnsi="Times New Roman" w:cs="Times New Roman"/>
          <w:b/>
          <w:sz w:val="28"/>
          <w:szCs w:val="28"/>
        </w:rPr>
      </w:pPr>
    </w:p>
    <w:p w14:paraId="78393AAD" w14:textId="77777777" w:rsidR="00586EB6" w:rsidRDefault="00586EB6" w:rsidP="00FE4953">
      <w:pPr>
        <w:spacing w:line="360" w:lineRule="auto"/>
        <w:jc w:val="both"/>
        <w:rPr>
          <w:rFonts w:ascii="Times New Roman" w:hAnsi="Times New Roman" w:cs="Times New Roman"/>
          <w:b/>
          <w:sz w:val="28"/>
          <w:szCs w:val="28"/>
        </w:rPr>
      </w:pPr>
    </w:p>
    <w:p w14:paraId="468D093D" w14:textId="77777777" w:rsidR="00586EB6" w:rsidRDefault="00586EB6" w:rsidP="00FE4953">
      <w:pPr>
        <w:spacing w:line="360" w:lineRule="auto"/>
        <w:jc w:val="both"/>
        <w:rPr>
          <w:rFonts w:ascii="Times New Roman" w:hAnsi="Times New Roman" w:cs="Times New Roman"/>
          <w:b/>
          <w:sz w:val="28"/>
          <w:szCs w:val="28"/>
        </w:rPr>
      </w:pPr>
    </w:p>
    <w:p w14:paraId="072C5507" w14:textId="77777777" w:rsidR="00797375" w:rsidRDefault="00797375" w:rsidP="00FE4953">
      <w:pPr>
        <w:spacing w:line="360" w:lineRule="auto"/>
        <w:jc w:val="both"/>
        <w:rPr>
          <w:rFonts w:ascii="Times New Roman" w:hAnsi="Times New Roman" w:cs="Times New Roman"/>
          <w:b/>
          <w:sz w:val="28"/>
          <w:szCs w:val="28"/>
        </w:rPr>
      </w:pPr>
    </w:p>
    <w:p w14:paraId="23A69E70" w14:textId="77777777" w:rsidR="00FE4953" w:rsidRPr="00FE4953" w:rsidRDefault="00FE4953" w:rsidP="00FE4953">
      <w:pPr>
        <w:spacing w:line="360" w:lineRule="auto"/>
        <w:jc w:val="both"/>
        <w:rPr>
          <w:rFonts w:ascii="Times New Roman" w:hAnsi="Times New Roman" w:cs="Times New Roman"/>
          <w:b/>
          <w:sz w:val="28"/>
          <w:szCs w:val="28"/>
        </w:rPr>
      </w:pPr>
      <w:r w:rsidRPr="00FE4953">
        <w:rPr>
          <w:rFonts w:ascii="Times New Roman" w:hAnsi="Times New Roman" w:cs="Times New Roman"/>
          <w:b/>
          <w:sz w:val="28"/>
          <w:szCs w:val="28"/>
        </w:rPr>
        <w:t>INTRODUCTION</w:t>
      </w:r>
    </w:p>
    <w:p w14:paraId="4A18E7B5" w14:textId="77777777" w:rsidR="00FE4953" w:rsidRPr="00FE4953" w:rsidRDefault="00FE4953" w:rsidP="00FE4953">
      <w:pPr>
        <w:spacing w:line="360" w:lineRule="auto"/>
        <w:jc w:val="both"/>
        <w:rPr>
          <w:rFonts w:ascii="Times New Roman" w:hAnsi="Times New Roman" w:cs="Times New Roman"/>
          <w:sz w:val="28"/>
          <w:szCs w:val="28"/>
        </w:rPr>
      </w:pPr>
      <w:r w:rsidRPr="00FE4953">
        <w:rPr>
          <w:rFonts w:ascii="Times New Roman" w:hAnsi="Times New Roman" w:cs="Times New Roman"/>
          <w:sz w:val="28"/>
          <w:szCs w:val="28"/>
        </w:rPr>
        <w:t>In India, the scheme for enforcement of foreign awards is provided in Part – II of the Arbitration and Conciliation Act, 1996 (“the Arbitration Act”). Section 44 of the Arbitration Act defines a foreign award as “an arbitral award on differences between persons arising out of legal relationships, whether contractual or not, considered as commercial under the law in force in India, made on or after 11 October 1960”. For an arbitral award to be considered as a foreign award under Section 44 of the Arbitration Act, the said award is required to be made pursuant to a written arbitration agreement to which the Convention on the Recognition and Enforcement of Foreign Arbitral Awards, 1958 (“New York Convention, 1958” or “NYC”) applies and in a country which the Central Government has notified as per Section 44.</w:t>
      </w:r>
    </w:p>
    <w:p w14:paraId="387DED5C" w14:textId="77777777" w:rsidR="00FE4953" w:rsidRPr="00FE4953" w:rsidRDefault="00FE4953" w:rsidP="00FE4953">
      <w:pPr>
        <w:spacing w:line="360" w:lineRule="auto"/>
        <w:jc w:val="both"/>
        <w:rPr>
          <w:rFonts w:ascii="Times New Roman" w:hAnsi="Times New Roman" w:cs="Times New Roman"/>
          <w:sz w:val="28"/>
          <w:szCs w:val="28"/>
        </w:rPr>
      </w:pPr>
      <w:r w:rsidRPr="00FE4953">
        <w:rPr>
          <w:rFonts w:ascii="Times New Roman" w:hAnsi="Times New Roman" w:cs="Times New Roman"/>
          <w:sz w:val="28"/>
          <w:szCs w:val="28"/>
        </w:rPr>
        <w:t>While India has adopted a pro-enforcement approach with foreign arbitral awards, it is important to understand the legislative background and the development of law over the years since 1923.</w:t>
      </w:r>
    </w:p>
    <w:p w14:paraId="5207BDC2" w14:textId="77777777" w:rsidR="00FE4953" w:rsidRPr="00FE4953" w:rsidRDefault="00FE4953" w:rsidP="00FE4953">
      <w:pPr>
        <w:spacing w:line="360" w:lineRule="auto"/>
        <w:jc w:val="both"/>
        <w:rPr>
          <w:rFonts w:ascii="Times New Roman" w:hAnsi="Times New Roman" w:cs="Times New Roman"/>
          <w:b/>
          <w:sz w:val="28"/>
          <w:szCs w:val="28"/>
          <w:u w:val="single"/>
        </w:rPr>
      </w:pPr>
      <w:r w:rsidRPr="00FE4953">
        <w:rPr>
          <w:rFonts w:ascii="Times New Roman" w:hAnsi="Times New Roman" w:cs="Times New Roman"/>
          <w:sz w:val="28"/>
          <w:szCs w:val="28"/>
        </w:rPr>
        <w:t xml:space="preserve"> </w:t>
      </w:r>
      <w:r w:rsidRPr="00FE4953">
        <w:rPr>
          <w:rFonts w:ascii="Times New Roman" w:hAnsi="Times New Roman" w:cs="Times New Roman"/>
          <w:b/>
          <w:sz w:val="28"/>
          <w:szCs w:val="28"/>
          <w:u w:val="single"/>
        </w:rPr>
        <w:t xml:space="preserve">A. HISTORICAL BACKGROUND </w:t>
      </w:r>
    </w:p>
    <w:p w14:paraId="0E07A56E" w14:textId="77777777" w:rsidR="00FE4953" w:rsidRPr="00FE4953" w:rsidRDefault="00FE4953" w:rsidP="00FE4953">
      <w:pPr>
        <w:spacing w:line="360" w:lineRule="auto"/>
        <w:jc w:val="both"/>
        <w:rPr>
          <w:rFonts w:ascii="Times New Roman" w:hAnsi="Times New Roman" w:cs="Times New Roman"/>
          <w:sz w:val="28"/>
          <w:szCs w:val="28"/>
        </w:rPr>
      </w:pPr>
      <w:r w:rsidRPr="00FE4953">
        <w:rPr>
          <w:rFonts w:ascii="Times New Roman" w:hAnsi="Times New Roman" w:cs="Times New Roman"/>
          <w:sz w:val="28"/>
          <w:szCs w:val="28"/>
        </w:rPr>
        <w:t xml:space="preserve"> The Geneva Protocol of 1923 was drawn up on the initiative of International Chamber of Commerce (“ICC”) under the auspices of the League of Nations. The Geneva Protocol had two objectives, firstly, to make arbitration </w:t>
      </w:r>
      <w:proofErr w:type="gramStart"/>
      <w:r w:rsidRPr="00FE4953">
        <w:rPr>
          <w:rFonts w:ascii="Times New Roman" w:hAnsi="Times New Roman" w:cs="Times New Roman"/>
          <w:sz w:val="28"/>
          <w:szCs w:val="28"/>
        </w:rPr>
        <w:t>agreements,</w:t>
      </w:r>
      <w:proofErr w:type="gramEnd"/>
      <w:r w:rsidRPr="00FE4953">
        <w:rPr>
          <w:rFonts w:ascii="Times New Roman" w:hAnsi="Times New Roman" w:cs="Times New Roman"/>
          <w:sz w:val="28"/>
          <w:szCs w:val="28"/>
        </w:rPr>
        <w:t xml:space="preserve"> and arbitration clauses in particular, enforceable internationally; and secondly, to ensure that awards made pursuant to such arbitration agreements are enforced in the territory of the State in which they were made.  The Geneva Protocol of 1923 was followed by the Geneva Convention of 1927 (“Geneva Convention”).  </w:t>
      </w:r>
    </w:p>
    <w:p w14:paraId="56621A4B" w14:textId="77777777" w:rsidR="00FE4953" w:rsidRPr="00FE4953" w:rsidRDefault="00FE4953" w:rsidP="00FE4953">
      <w:pPr>
        <w:spacing w:line="360" w:lineRule="auto"/>
        <w:jc w:val="both"/>
        <w:rPr>
          <w:rFonts w:ascii="Times New Roman" w:hAnsi="Times New Roman" w:cs="Times New Roman"/>
          <w:b/>
          <w:sz w:val="28"/>
          <w:szCs w:val="28"/>
        </w:rPr>
      </w:pPr>
      <w:r w:rsidRPr="00FE4953">
        <w:rPr>
          <w:rFonts w:ascii="Times New Roman" w:hAnsi="Times New Roman" w:cs="Times New Roman"/>
          <w:b/>
          <w:sz w:val="28"/>
          <w:szCs w:val="28"/>
        </w:rPr>
        <w:t>THE GENEVA CONVENTION 1927</w:t>
      </w:r>
    </w:p>
    <w:p w14:paraId="3F08466A" w14:textId="77777777" w:rsidR="00797375" w:rsidRDefault="00FE4953" w:rsidP="00F17C4E">
      <w:pPr>
        <w:pStyle w:val="NormalWeb"/>
        <w:spacing w:line="360" w:lineRule="auto"/>
        <w:jc w:val="both"/>
        <w:rPr>
          <w:sz w:val="28"/>
          <w:szCs w:val="28"/>
        </w:rPr>
      </w:pPr>
      <w:r w:rsidRPr="00FE4953">
        <w:rPr>
          <w:sz w:val="28"/>
          <w:szCs w:val="28"/>
        </w:rPr>
        <w:lastRenderedPageBreak/>
        <w:t>Under the Geneva Convention, 1927, in order to obtain recognition or enforcement of a foreign arbitral award, the requirements of clause (a) to (e) of Article 1 had to be full filled and in Article 2, it was prescribed that even if the conditions laid down in that article were fulfilled recognition &amp; enforcement of the award would be refused if the court was satisfied in respect of matters m</w:t>
      </w:r>
      <w:r w:rsidR="00E56097">
        <w:rPr>
          <w:sz w:val="28"/>
          <w:szCs w:val="28"/>
        </w:rPr>
        <w:t>entioned in clause </w:t>
      </w:r>
      <w:proofErr w:type="spellStart"/>
      <w:r w:rsidR="00E56097">
        <w:rPr>
          <w:sz w:val="28"/>
          <w:szCs w:val="28"/>
        </w:rPr>
        <w:t>a,b</w:t>
      </w:r>
      <w:proofErr w:type="spellEnd"/>
      <w:r w:rsidR="00E56097">
        <w:rPr>
          <w:sz w:val="28"/>
          <w:szCs w:val="28"/>
        </w:rPr>
        <w:t> and c hereunder</w:t>
      </w:r>
      <w:r w:rsidRPr="00FE4953">
        <w:rPr>
          <w:sz w:val="28"/>
          <w:szCs w:val="28"/>
        </w:rPr>
        <w:br/>
      </w:r>
      <w:r w:rsidRPr="00FE4953">
        <w:rPr>
          <w:sz w:val="28"/>
          <w:szCs w:val="28"/>
        </w:rPr>
        <w:br/>
        <w:t>a) The award has been annulled in the Country in which it was made.</w:t>
      </w:r>
      <w:r w:rsidRPr="00FE4953">
        <w:rPr>
          <w:sz w:val="28"/>
          <w:szCs w:val="28"/>
        </w:rPr>
        <w:br/>
        <w:t>b) That the party being under a legal incapacity, he was not properly represented.</w:t>
      </w:r>
      <w:r w:rsidRPr="00FE4953">
        <w:rPr>
          <w:sz w:val="28"/>
          <w:szCs w:val="28"/>
        </w:rPr>
        <w:br/>
        <w:t>c) That the award contains decisions on matters beyond</w:t>
      </w:r>
      <w:r w:rsidR="00E56097">
        <w:rPr>
          <w:sz w:val="28"/>
          <w:szCs w:val="28"/>
        </w:rPr>
        <w:t xml:space="preserve"> the scope of the submission </w:t>
      </w:r>
      <w:r w:rsidRPr="00FE4953">
        <w:rPr>
          <w:sz w:val="28"/>
          <w:szCs w:val="28"/>
        </w:rPr>
        <w:t>to</w:t>
      </w:r>
      <w:r w:rsidR="00E56097">
        <w:rPr>
          <w:sz w:val="28"/>
          <w:szCs w:val="28"/>
        </w:rPr>
        <w:t> </w:t>
      </w:r>
      <w:r w:rsidRPr="00FE4953">
        <w:rPr>
          <w:sz w:val="28"/>
          <w:szCs w:val="28"/>
        </w:rPr>
        <w:t>arbitration.</w:t>
      </w:r>
      <w:r w:rsidRPr="00FE4953">
        <w:rPr>
          <w:sz w:val="28"/>
          <w:szCs w:val="28"/>
        </w:rPr>
        <w:br/>
        <w:t xml:space="preserve">The principles which apply to recognition and enforcement of foreign awards are in substance, similar to those adopted by the English court at Common law, </w:t>
      </w:r>
      <w:proofErr w:type="gramStart"/>
      <w:r w:rsidRPr="00FE4953">
        <w:rPr>
          <w:sz w:val="28"/>
          <w:szCs w:val="28"/>
        </w:rPr>
        <w:t>It</w:t>
      </w:r>
      <w:proofErr w:type="gramEnd"/>
      <w:r w:rsidRPr="00FE4953">
        <w:rPr>
          <w:sz w:val="28"/>
          <w:szCs w:val="28"/>
        </w:rPr>
        <w:t xml:space="preserve"> was, however, felt that the Geneva Convention suffered from certain defects which hampered the speedy settlement of disputes through arbitration.</w:t>
      </w:r>
      <w:r w:rsidRPr="00FE4953">
        <w:rPr>
          <w:sz w:val="28"/>
          <w:szCs w:val="28"/>
        </w:rPr>
        <w:br/>
      </w:r>
    </w:p>
    <w:p w14:paraId="0C9784F8" w14:textId="3B822507" w:rsidR="00FE4953" w:rsidRPr="00FE4953" w:rsidRDefault="00FE4953" w:rsidP="00F17C4E">
      <w:pPr>
        <w:pStyle w:val="NormalWeb"/>
        <w:spacing w:line="360" w:lineRule="auto"/>
        <w:jc w:val="both"/>
        <w:rPr>
          <w:sz w:val="28"/>
          <w:szCs w:val="28"/>
        </w:rPr>
      </w:pPr>
      <w:r w:rsidRPr="00FE4953">
        <w:rPr>
          <w:sz w:val="28"/>
          <w:szCs w:val="28"/>
        </w:rPr>
        <w:t>The Geneva Convention widened the scope of the Geneva Protocol of 1923 and provided the recognition and enforcement of protocol awards within the territory of contracting States. India was a signatory to the Geneva Protocol of 1923 and also the Geneva Convention of 1927. To implement its obligations, India enacted the Arbitration (Protocol &amp; Convention) Act, 1937. As noticed in  </w:t>
      </w:r>
      <w:proofErr w:type="spellStart"/>
      <w:r w:rsidRPr="00586EB6">
        <w:rPr>
          <w:sz w:val="28"/>
          <w:szCs w:val="28"/>
        </w:rPr>
        <w:t>Renusagar</w:t>
      </w:r>
      <w:proofErr w:type="spellEnd"/>
      <w:r w:rsidRPr="00586EB6">
        <w:rPr>
          <w:sz w:val="28"/>
          <w:szCs w:val="28"/>
        </w:rPr>
        <w:t xml:space="preserve"> Power Co. Ltd. vs. General Electric Co</w:t>
      </w:r>
      <w:r w:rsidRPr="00FE4953">
        <w:rPr>
          <w:sz w:val="28"/>
          <w:szCs w:val="28"/>
        </w:rPr>
        <w:t>.</w:t>
      </w:r>
      <w:r w:rsidRPr="00FE4953">
        <w:rPr>
          <w:rStyle w:val="FootnoteReference"/>
          <w:sz w:val="28"/>
          <w:szCs w:val="28"/>
        </w:rPr>
        <w:footnoteReference w:id="2"/>
      </w:r>
      <w:r w:rsidRPr="00FE4953">
        <w:rPr>
          <w:sz w:val="28"/>
          <w:szCs w:val="28"/>
        </w:rPr>
        <w:t xml:space="preserve">  “a number of problems were encountered in the operation of the aforesaid Geneva treaties inasmuch as there were limitations in relation to their field of application and under the Geneva Convention of 1927, a party seeking enforcement had to prove the conditions necessary for enforcement and in order to show that the awards had </w:t>
      </w:r>
      <w:r w:rsidRPr="00FE4953">
        <w:rPr>
          <w:sz w:val="28"/>
          <w:szCs w:val="28"/>
        </w:rPr>
        <w:lastRenderedPageBreak/>
        <w:t xml:space="preserve">become final in its country of origin the successful party was often obliged to seek a declaration in the countries where the arbitration took place to the effect that the award was enforceable in that country before it could go ahead and enforce the award in the courts of the place of enforcement”. </w:t>
      </w:r>
      <w:proofErr w:type="gramStart"/>
      <w:r w:rsidRPr="00FE4953">
        <w:rPr>
          <w:sz w:val="28"/>
          <w:szCs w:val="28"/>
        </w:rPr>
        <w:t>1 6.</w:t>
      </w:r>
      <w:proofErr w:type="gramEnd"/>
      <w:r w:rsidRPr="00FE4953">
        <w:rPr>
          <w:sz w:val="28"/>
          <w:szCs w:val="28"/>
        </w:rPr>
        <w:t xml:space="preserve"> Thereafter in 1953, the ICC promoted a treaty to govern international commercial arbitration, which led to the adoption of the NYC.</w:t>
      </w:r>
    </w:p>
    <w:p w14:paraId="2BD4C9C7" w14:textId="77777777" w:rsidR="00FE4953" w:rsidRPr="00FE4953" w:rsidRDefault="00FE4953" w:rsidP="00FE4953">
      <w:pPr>
        <w:spacing w:line="360" w:lineRule="auto"/>
        <w:jc w:val="both"/>
        <w:rPr>
          <w:rFonts w:ascii="Times New Roman" w:hAnsi="Times New Roman" w:cs="Times New Roman"/>
          <w:b/>
          <w:sz w:val="28"/>
          <w:szCs w:val="28"/>
          <w:u w:val="single"/>
        </w:rPr>
      </w:pPr>
      <w:r w:rsidRPr="00FE4953">
        <w:rPr>
          <w:rFonts w:ascii="Times New Roman" w:hAnsi="Times New Roman" w:cs="Times New Roman"/>
          <w:b/>
          <w:sz w:val="28"/>
          <w:szCs w:val="28"/>
          <w:u w:val="single"/>
        </w:rPr>
        <w:t>THE NEW YORK CONVENTION-1958</w:t>
      </w:r>
    </w:p>
    <w:p w14:paraId="1D4DAD2A" w14:textId="03ADD25C" w:rsidR="00FE4953" w:rsidRPr="00FE4953" w:rsidRDefault="00FE4953" w:rsidP="00FE4953">
      <w:pPr>
        <w:spacing w:line="360" w:lineRule="auto"/>
        <w:jc w:val="both"/>
        <w:rPr>
          <w:rFonts w:ascii="Times New Roman" w:hAnsi="Times New Roman" w:cs="Times New Roman"/>
          <w:sz w:val="28"/>
          <w:szCs w:val="28"/>
        </w:rPr>
      </w:pPr>
      <w:r w:rsidRPr="00FE4953">
        <w:rPr>
          <w:rFonts w:ascii="Times New Roman" w:hAnsi="Times New Roman" w:cs="Times New Roman"/>
          <w:sz w:val="28"/>
          <w:szCs w:val="28"/>
        </w:rPr>
        <w:t xml:space="preserve"> The </w:t>
      </w:r>
      <w:r w:rsidR="00621115">
        <w:rPr>
          <w:rFonts w:ascii="Times New Roman" w:hAnsi="Times New Roman" w:cs="Times New Roman"/>
          <w:sz w:val="28"/>
          <w:szCs w:val="28"/>
        </w:rPr>
        <w:t xml:space="preserve">New </w:t>
      </w:r>
      <w:r w:rsidRPr="00FE4953">
        <w:rPr>
          <w:rFonts w:ascii="Times New Roman" w:hAnsi="Times New Roman" w:cs="Times New Roman"/>
          <w:sz w:val="28"/>
          <w:szCs w:val="28"/>
        </w:rPr>
        <w:t xml:space="preserve">York Convention (1958), Art III provides that each contracting State Shall recognize awards as binding and enforce them in accordance with the rules &amp; procedure of the territory, where award is relied upon. </w:t>
      </w:r>
      <w:r w:rsidRPr="00FE4953">
        <w:rPr>
          <w:rFonts w:ascii="Times New Roman" w:hAnsi="Times New Roman" w:cs="Times New Roman"/>
          <w:sz w:val="28"/>
          <w:szCs w:val="28"/>
        </w:rPr>
        <w:br/>
        <w:t>The NYC sought to overcome the issues of the Geneva Convention by providing an effective and simpler method for recognition and enforcement of foreign awards. India became an early signatory to the NYC (signed in 1958 and ratified in 1960). The NYC provides for a mu</w:t>
      </w:r>
      <w:r w:rsidR="00586EB6">
        <w:rPr>
          <w:rFonts w:ascii="Times New Roman" w:hAnsi="Times New Roman" w:cs="Times New Roman"/>
          <w:sz w:val="28"/>
          <w:szCs w:val="28"/>
        </w:rPr>
        <w:t xml:space="preserve">ch </w:t>
      </w:r>
      <w:proofErr w:type="gramStart"/>
      <w:r w:rsidR="00586EB6">
        <w:rPr>
          <w:rFonts w:ascii="Times New Roman" w:hAnsi="Times New Roman" w:cs="Times New Roman"/>
          <w:sz w:val="28"/>
          <w:szCs w:val="28"/>
        </w:rPr>
        <w:t xml:space="preserve">more </w:t>
      </w:r>
      <w:r w:rsidRPr="00FE4953">
        <w:rPr>
          <w:rFonts w:ascii="Times New Roman" w:hAnsi="Times New Roman" w:cs="Times New Roman"/>
          <w:sz w:val="28"/>
          <w:szCs w:val="28"/>
        </w:rPr>
        <w:t>simple</w:t>
      </w:r>
      <w:proofErr w:type="gramEnd"/>
      <w:r w:rsidRPr="00FE4953">
        <w:rPr>
          <w:rFonts w:ascii="Times New Roman" w:hAnsi="Times New Roman" w:cs="Times New Roman"/>
          <w:sz w:val="28"/>
          <w:szCs w:val="28"/>
        </w:rPr>
        <w:t xml:space="preserve"> and effective method of obtaining recognition and enforcement of foreign awards and it replaces the Geneva Convention as between the States which are parties to both the Conventions. 8. Article V of the NYC enumerates certain well defined grounds on which an award may be refused to be recognized and enforced. Under Article </w:t>
      </w:r>
      <w:proofErr w:type="gramStart"/>
      <w:r w:rsidRPr="00FE4953">
        <w:rPr>
          <w:rFonts w:ascii="Times New Roman" w:hAnsi="Times New Roman" w:cs="Times New Roman"/>
          <w:sz w:val="28"/>
          <w:szCs w:val="28"/>
        </w:rPr>
        <w:t>V(</w:t>
      </w:r>
      <w:proofErr w:type="gramEnd"/>
      <w:r w:rsidRPr="00FE4953">
        <w:rPr>
          <w:rFonts w:ascii="Times New Roman" w:hAnsi="Times New Roman" w:cs="Times New Roman"/>
          <w:sz w:val="28"/>
          <w:szCs w:val="28"/>
        </w:rPr>
        <w:t>2)(b), a foreign award may not be enforced if the award is contrary to public policy of the country where the award is sought to enforced. . The Government of India gave statutory recognition to the NYC by enacting the Foreign Awards (Recommendation and Enforcement) Act, 1961 (“1961 Act”). Section 7 of the 1961 Act was identical to Article V of the NYC. Under Section 7(1</w:t>
      </w:r>
      <w:proofErr w:type="gramStart"/>
      <w:r w:rsidRPr="00FE4953">
        <w:rPr>
          <w:rFonts w:ascii="Times New Roman" w:hAnsi="Times New Roman" w:cs="Times New Roman"/>
          <w:sz w:val="28"/>
          <w:szCs w:val="28"/>
        </w:rPr>
        <w:t>)(</w:t>
      </w:r>
      <w:proofErr w:type="gramEnd"/>
      <w:r w:rsidRPr="00FE4953">
        <w:rPr>
          <w:rFonts w:ascii="Times New Roman" w:hAnsi="Times New Roman" w:cs="Times New Roman"/>
          <w:sz w:val="28"/>
          <w:szCs w:val="28"/>
        </w:rPr>
        <w:t xml:space="preserve">b)(ii), a foreign award may not be enforced if the enforcement of that award was “contrary to public policy”.  See </w:t>
      </w:r>
      <w:proofErr w:type="spellStart"/>
      <w:r w:rsidRPr="00FE4953">
        <w:rPr>
          <w:rFonts w:ascii="Times New Roman" w:hAnsi="Times New Roman" w:cs="Times New Roman"/>
          <w:sz w:val="28"/>
          <w:szCs w:val="28"/>
        </w:rPr>
        <w:t>Renusagar</w:t>
      </w:r>
      <w:proofErr w:type="spellEnd"/>
      <w:r w:rsidRPr="00FE4953">
        <w:rPr>
          <w:rFonts w:ascii="Times New Roman" w:hAnsi="Times New Roman" w:cs="Times New Roman"/>
          <w:sz w:val="28"/>
          <w:szCs w:val="28"/>
        </w:rPr>
        <w:t xml:space="preserve"> </w:t>
      </w:r>
      <w:proofErr w:type="gramStart"/>
      <w:r w:rsidRPr="00FE4953">
        <w:rPr>
          <w:rFonts w:ascii="Times New Roman" w:hAnsi="Times New Roman" w:cs="Times New Roman"/>
          <w:sz w:val="28"/>
          <w:szCs w:val="28"/>
        </w:rPr>
        <w:t>( Supra</w:t>
      </w:r>
      <w:proofErr w:type="gramEnd"/>
      <w:r w:rsidRPr="00FE4953">
        <w:rPr>
          <w:rFonts w:ascii="Times New Roman" w:hAnsi="Times New Roman" w:cs="Times New Roman"/>
          <w:sz w:val="28"/>
          <w:szCs w:val="28"/>
        </w:rPr>
        <w:t>)</w:t>
      </w:r>
    </w:p>
    <w:p w14:paraId="47F8DDE1" w14:textId="600D7419" w:rsidR="00FE4953" w:rsidRPr="00FE4953" w:rsidRDefault="00FE4953" w:rsidP="00FE4953">
      <w:pPr>
        <w:spacing w:line="360" w:lineRule="auto"/>
        <w:jc w:val="both"/>
        <w:rPr>
          <w:rFonts w:ascii="Times New Roman" w:hAnsi="Times New Roman" w:cs="Times New Roman"/>
          <w:sz w:val="28"/>
          <w:szCs w:val="28"/>
        </w:rPr>
      </w:pPr>
      <w:r w:rsidRPr="00FE4953">
        <w:rPr>
          <w:rFonts w:ascii="Times New Roman" w:hAnsi="Times New Roman" w:cs="Times New Roman"/>
          <w:sz w:val="28"/>
          <w:szCs w:val="28"/>
        </w:rPr>
        <w:t xml:space="preserve">Thereafter, in 1985, the </w:t>
      </w:r>
      <w:r w:rsidRPr="00621115">
        <w:rPr>
          <w:rFonts w:ascii="Times New Roman" w:hAnsi="Times New Roman" w:cs="Times New Roman"/>
          <w:sz w:val="28"/>
          <w:szCs w:val="28"/>
        </w:rPr>
        <w:t>UNCITRAL</w:t>
      </w:r>
      <w:r w:rsidRPr="00FE4953">
        <w:rPr>
          <w:rFonts w:ascii="Times New Roman" w:hAnsi="Times New Roman" w:cs="Times New Roman"/>
          <w:sz w:val="28"/>
          <w:szCs w:val="28"/>
        </w:rPr>
        <w:t xml:space="preserve">, a core body of the United Nations, came out with the Model Law on International Commercial Arbitration (“Model </w:t>
      </w:r>
      <w:r w:rsidRPr="00FE4953">
        <w:rPr>
          <w:rFonts w:ascii="Times New Roman" w:hAnsi="Times New Roman" w:cs="Times New Roman"/>
          <w:sz w:val="28"/>
          <w:szCs w:val="28"/>
        </w:rPr>
        <w:lastRenderedPageBreak/>
        <w:t>Law”). The Model Law was a legislative template for countries across the world seeking to develop their arbitral regimes. Accordingly, in 1996, India enacted the Arbitration Act to consolidate and amend the law relating to domestic arbitration (those seated in India), international commercial arbitration (those also seated in India but where one of the parties is foreign [Section 2(1</w:t>
      </w:r>
      <w:proofErr w:type="gramStart"/>
      <w:r w:rsidRPr="00FE4953">
        <w:rPr>
          <w:rFonts w:ascii="Times New Roman" w:hAnsi="Times New Roman" w:cs="Times New Roman"/>
          <w:sz w:val="28"/>
          <w:szCs w:val="28"/>
        </w:rPr>
        <w:t>)(</w:t>
      </w:r>
      <w:proofErr w:type="gramEnd"/>
      <w:r w:rsidRPr="00FE4953">
        <w:rPr>
          <w:rFonts w:ascii="Times New Roman" w:hAnsi="Times New Roman" w:cs="Times New Roman"/>
          <w:sz w:val="28"/>
          <w:szCs w:val="28"/>
        </w:rPr>
        <w:t>f)]) and the enforcement of foreign arbitral awards (those under the NYC or Geneva Convention). The Preamble of the Arbitration Act also confirms that the statute was made “taking into account the” Mo</w:t>
      </w:r>
      <w:r w:rsidR="00586EB6">
        <w:rPr>
          <w:rFonts w:ascii="Times New Roman" w:hAnsi="Times New Roman" w:cs="Times New Roman"/>
          <w:sz w:val="28"/>
          <w:szCs w:val="28"/>
        </w:rPr>
        <w:t>del Law.</w:t>
      </w:r>
      <w:r w:rsidRPr="00FE4953">
        <w:rPr>
          <w:rFonts w:ascii="Times New Roman" w:hAnsi="Times New Roman" w:cs="Times New Roman"/>
          <w:sz w:val="28"/>
          <w:szCs w:val="28"/>
        </w:rPr>
        <w:t xml:space="preserve"> The Arbitration Act is divided into four parts, namely - Part I, “Arbitration”; Part II, “Enforcement of Certain Foreign Awards”; Part III, “Conciliation”; and Part IV, “Supplementary Provisions”. The Supreme Court has held that Part I and Part II of the Arbitration Act are mutually exclusive of each other, and that there shall be no overlapping between Part I and Part II of the Arbitration Act.  Part II of the Arbitration Act provides for the “enforcement of certain foreign awards”. Chapter I of Part II </w:t>
      </w:r>
      <w:proofErr w:type="gramStart"/>
      <w:r w:rsidRPr="00FE4953">
        <w:rPr>
          <w:rFonts w:ascii="Times New Roman" w:hAnsi="Times New Roman" w:cs="Times New Roman"/>
          <w:sz w:val="28"/>
          <w:szCs w:val="28"/>
        </w:rPr>
        <w:t>deals</w:t>
      </w:r>
      <w:proofErr w:type="gramEnd"/>
      <w:r w:rsidRPr="00FE4953">
        <w:rPr>
          <w:rFonts w:ascii="Times New Roman" w:hAnsi="Times New Roman" w:cs="Times New Roman"/>
          <w:sz w:val="28"/>
          <w:szCs w:val="28"/>
        </w:rPr>
        <w:t xml:space="preserve"> with the enforcement of foreign awards to which the NYC applies and Chapter II of Part II deals with the enforcement of foreign arbitral awards to which the Geneva Convention applies.  As per Section 47 of the Arbitration Act, a foreign award holder seeking enforcement of an award in India must file a petition, under Section 47 read with Section 49 of the Arbitration Act, in the High Court within whose jurisdiction the award debtor or its assets are located. It also mandates certain documents to be produced before the Court, while applying for enforcement. However, the Supreme Court vide its judgment in the matter of PEC Limited v. </w:t>
      </w:r>
      <w:proofErr w:type="spellStart"/>
      <w:r w:rsidRPr="00FE4953">
        <w:rPr>
          <w:rFonts w:ascii="Times New Roman" w:hAnsi="Times New Roman" w:cs="Times New Roman"/>
          <w:sz w:val="28"/>
          <w:szCs w:val="28"/>
        </w:rPr>
        <w:t>Austbulk</w:t>
      </w:r>
      <w:proofErr w:type="spellEnd"/>
      <w:r w:rsidRPr="00FE4953">
        <w:rPr>
          <w:rFonts w:ascii="Times New Roman" w:hAnsi="Times New Roman" w:cs="Times New Roman"/>
          <w:sz w:val="28"/>
          <w:szCs w:val="28"/>
        </w:rPr>
        <w:t xml:space="preserve"> Shipping SDN BHD.</w:t>
      </w:r>
      <w:r w:rsidRPr="00FE4953">
        <w:rPr>
          <w:rStyle w:val="FootnoteReference"/>
          <w:rFonts w:ascii="Times New Roman" w:hAnsi="Times New Roman" w:cs="Times New Roman"/>
          <w:sz w:val="28"/>
          <w:szCs w:val="28"/>
        </w:rPr>
        <w:footnoteReference w:id="3"/>
      </w:r>
      <w:r w:rsidRPr="00FE4953">
        <w:rPr>
          <w:rFonts w:ascii="Times New Roman" w:hAnsi="Times New Roman" w:cs="Times New Roman"/>
          <w:sz w:val="28"/>
          <w:szCs w:val="28"/>
        </w:rPr>
        <w:t xml:space="preserve"> eased the requirement of document production at the initial stage of filing by observing that a party applying for the enforcement Bharat </w:t>
      </w:r>
      <w:proofErr w:type="spellStart"/>
      <w:r w:rsidRPr="00FE4953">
        <w:rPr>
          <w:rFonts w:ascii="Times New Roman" w:hAnsi="Times New Roman" w:cs="Times New Roman"/>
          <w:sz w:val="28"/>
          <w:szCs w:val="28"/>
        </w:rPr>
        <w:t>Alumunium</w:t>
      </w:r>
      <w:proofErr w:type="spellEnd"/>
      <w:r w:rsidRPr="00FE4953">
        <w:rPr>
          <w:rFonts w:ascii="Times New Roman" w:hAnsi="Times New Roman" w:cs="Times New Roman"/>
          <w:sz w:val="28"/>
          <w:szCs w:val="28"/>
        </w:rPr>
        <w:t xml:space="preserve"> Co. v. Kaiser </w:t>
      </w:r>
      <w:proofErr w:type="spellStart"/>
      <w:r w:rsidRPr="00FE4953">
        <w:rPr>
          <w:rFonts w:ascii="Times New Roman" w:hAnsi="Times New Roman" w:cs="Times New Roman"/>
          <w:sz w:val="28"/>
          <w:szCs w:val="28"/>
        </w:rPr>
        <w:t>Aluminiun</w:t>
      </w:r>
      <w:proofErr w:type="spellEnd"/>
      <w:r w:rsidRPr="00FE4953">
        <w:rPr>
          <w:rFonts w:ascii="Times New Roman" w:hAnsi="Times New Roman" w:cs="Times New Roman"/>
          <w:sz w:val="28"/>
          <w:szCs w:val="28"/>
        </w:rPr>
        <w:t xml:space="preserve"> Technical Service </w:t>
      </w:r>
      <w:proofErr w:type="spellStart"/>
      <w:r w:rsidRPr="00FE4953">
        <w:rPr>
          <w:rFonts w:ascii="Times New Roman" w:hAnsi="Times New Roman" w:cs="Times New Roman"/>
          <w:sz w:val="28"/>
          <w:szCs w:val="28"/>
        </w:rPr>
        <w:t>Inc</w:t>
      </w:r>
      <w:proofErr w:type="spellEnd"/>
      <w:r w:rsidRPr="00FE4953">
        <w:rPr>
          <w:rFonts w:ascii="Times New Roman" w:hAnsi="Times New Roman" w:cs="Times New Roman"/>
          <w:sz w:val="28"/>
          <w:szCs w:val="28"/>
        </w:rPr>
        <w:t>,</w:t>
      </w:r>
      <w:r w:rsidRPr="00FE4953">
        <w:rPr>
          <w:rStyle w:val="FootnoteReference"/>
          <w:rFonts w:ascii="Times New Roman" w:hAnsi="Times New Roman" w:cs="Times New Roman"/>
          <w:sz w:val="28"/>
          <w:szCs w:val="28"/>
        </w:rPr>
        <w:footnoteReference w:id="4"/>
      </w:r>
      <w:r w:rsidRPr="00FE4953">
        <w:rPr>
          <w:rFonts w:ascii="Times New Roman" w:hAnsi="Times New Roman" w:cs="Times New Roman"/>
          <w:sz w:val="28"/>
          <w:szCs w:val="28"/>
        </w:rPr>
        <w:t xml:space="preserve"> .A foreign award need not necessarily produce the documents mentioned in Section 47 “at the time of the application”.  </w:t>
      </w:r>
      <w:r w:rsidRPr="00FE4953">
        <w:rPr>
          <w:rFonts w:ascii="Times New Roman" w:hAnsi="Times New Roman" w:cs="Times New Roman"/>
          <w:sz w:val="28"/>
          <w:szCs w:val="28"/>
        </w:rPr>
        <w:lastRenderedPageBreak/>
        <w:t>Further, the Supreme Court has also held that under the Arbitration Act, a foreign award “is already stamped as a decree” and therefore, the process of enforcement and execution of a foreign award can be done in the same proceeding. The Supreme Court also clarified that every foreign award, which is final, is to be enforced “as if it were a decree of the court”.  On the other hand, the party resisting the enforcement is required to prove that the foreign award should not be accorded recognition on account of the existence of one or more of the conditions under Section 48 of the Arbitration Act – where the Court may refuse enforcement if the grounds under Section 48 have been established.</w:t>
      </w:r>
    </w:p>
    <w:p w14:paraId="3164CE5D" w14:textId="5C52C245" w:rsidR="00FE4953" w:rsidRPr="00FE4953" w:rsidRDefault="00FE4953" w:rsidP="00FE4953">
      <w:pPr>
        <w:spacing w:line="360" w:lineRule="auto"/>
        <w:jc w:val="both"/>
        <w:rPr>
          <w:rFonts w:ascii="Times New Roman" w:hAnsi="Times New Roman" w:cs="Times New Roman"/>
          <w:sz w:val="28"/>
          <w:szCs w:val="28"/>
          <w:u w:val="single"/>
        </w:rPr>
      </w:pPr>
      <w:r w:rsidRPr="00FE4953">
        <w:rPr>
          <w:rFonts w:ascii="Times New Roman" w:hAnsi="Times New Roman" w:cs="Times New Roman"/>
          <w:b/>
          <w:sz w:val="28"/>
          <w:szCs w:val="28"/>
          <w:u w:val="single"/>
        </w:rPr>
        <w:t xml:space="preserve">POSITION PRIOR TO AMENDMENT ACT - </w:t>
      </w:r>
      <w:r w:rsidR="00E56097">
        <w:rPr>
          <w:rFonts w:ascii="Times New Roman" w:hAnsi="Times New Roman" w:cs="Times New Roman"/>
          <w:b/>
          <w:sz w:val="28"/>
          <w:szCs w:val="28"/>
          <w:u w:val="single"/>
        </w:rPr>
        <w:t>2015</w:t>
      </w:r>
    </w:p>
    <w:p w14:paraId="034DA686" w14:textId="77777777" w:rsidR="00FE4953" w:rsidRPr="00FE4953" w:rsidRDefault="00FE4953" w:rsidP="00FE4953">
      <w:pPr>
        <w:spacing w:line="360" w:lineRule="auto"/>
        <w:jc w:val="both"/>
        <w:rPr>
          <w:rFonts w:ascii="Times New Roman" w:hAnsi="Times New Roman" w:cs="Times New Roman"/>
          <w:sz w:val="28"/>
          <w:szCs w:val="28"/>
        </w:rPr>
      </w:pPr>
      <w:r w:rsidRPr="00FE4953">
        <w:rPr>
          <w:rFonts w:ascii="Times New Roman" w:hAnsi="Times New Roman" w:cs="Times New Roman"/>
          <w:sz w:val="28"/>
          <w:szCs w:val="28"/>
        </w:rPr>
        <w:t xml:space="preserve"> As early as in 1994, the Supreme Court (three-judge bench) in </w:t>
      </w:r>
      <w:proofErr w:type="spellStart"/>
      <w:r w:rsidRPr="00FE4953">
        <w:rPr>
          <w:rFonts w:ascii="Times New Roman" w:hAnsi="Times New Roman" w:cs="Times New Roman"/>
          <w:sz w:val="28"/>
          <w:szCs w:val="28"/>
        </w:rPr>
        <w:t>Renusagar</w:t>
      </w:r>
      <w:proofErr w:type="spellEnd"/>
      <w:r w:rsidRPr="00FE4953">
        <w:rPr>
          <w:rFonts w:ascii="Times New Roman" w:hAnsi="Times New Roman" w:cs="Times New Roman"/>
          <w:sz w:val="28"/>
          <w:szCs w:val="28"/>
        </w:rPr>
        <w:t xml:space="preserve"> (Supra) held that the phrase “public policy” as it appears in Section 7(i)(b)(ii) of the Foreign Awards (Recognition and Enforcement) Act, 1961, had been used in a “narrower sense” - therefore, in order to attract the bar of public policy, the enforcement of a foreign award “must invoke something more than the violation of the law of India”. Enforcement thus, could only be refused if the award was found to be contrary to (i) fundamental policy of Indian law; or (ii) interests of India; or (iii) justice or morality.  See PEC Limited v. </w:t>
      </w:r>
      <w:proofErr w:type="spellStart"/>
      <w:r w:rsidRPr="00FE4953">
        <w:rPr>
          <w:rFonts w:ascii="Times New Roman" w:hAnsi="Times New Roman" w:cs="Times New Roman"/>
          <w:sz w:val="28"/>
          <w:szCs w:val="28"/>
        </w:rPr>
        <w:t>Austbulk</w:t>
      </w:r>
      <w:proofErr w:type="spellEnd"/>
      <w:r w:rsidRPr="00FE4953">
        <w:rPr>
          <w:rFonts w:ascii="Times New Roman" w:hAnsi="Times New Roman" w:cs="Times New Roman"/>
          <w:sz w:val="28"/>
          <w:szCs w:val="28"/>
        </w:rPr>
        <w:t xml:space="preserve"> Shipping SDN BHD.</w:t>
      </w:r>
      <w:r w:rsidRPr="00FE4953">
        <w:rPr>
          <w:rStyle w:val="FootnoteReference"/>
          <w:rFonts w:ascii="Times New Roman" w:hAnsi="Times New Roman" w:cs="Times New Roman"/>
          <w:sz w:val="28"/>
          <w:szCs w:val="28"/>
        </w:rPr>
        <w:footnoteReference w:id="5"/>
      </w:r>
      <w:r w:rsidRPr="00FE4953">
        <w:rPr>
          <w:rFonts w:ascii="Times New Roman" w:hAnsi="Times New Roman" w:cs="Times New Roman"/>
          <w:sz w:val="28"/>
          <w:szCs w:val="28"/>
        </w:rPr>
        <w:t xml:space="preserve"> 4 </w:t>
      </w:r>
      <w:proofErr w:type="spellStart"/>
      <w:r w:rsidRPr="00FE4953">
        <w:rPr>
          <w:rFonts w:ascii="Times New Roman" w:hAnsi="Times New Roman" w:cs="Times New Roman"/>
          <w:sz w:val="28"/>
          <w:szCs w:val="28"/>
        </w:rPr>
        <w:t>Fuerst</w:t>
      </w:r>
      <w:proofErr w:type="spellEnd"/>
      <w:r w:rsidRPr="00FE4953">
        <w:rPr>
          <w:rFonts w:ascii="Times New Roman" w:hAnsi="Times New Roman" w:cs="Times New Roman"/>
          <w:sz w:val="28"/>
          <w:szCs w:val="28"/>
        </w:rPr>
        <w:t xml:space="preserve"> Day Lawson Ltd vs. Jindal Exports Ltd.</w:t>
      </w:r>
      <w:r w:rsidRPr="00FE4953">
        <w:rPr>
          <w:rStyle w:val="FootnoteReference"/>
          <w:rFonts w:ascii="Times New Roman" w:hAnsi="Times New Roman" w:cs="Times New Roman"/>
          <w:sz w:val="28"/>
          <w:szCs w:val="28"/>
        </w:rPr>
        <w:footnoteReference w:id="6"/>
      </w:r>
      <w:r w:rsidRPr="00FE4953">
        <w:rPr>
          <w:rFonts w:ascii="Times New Roman" w:hAnsi="Times New Roman" w:cs="Times New Roman"/>
          <w:sz w:val="28"/>
          <w:szCs w:val="28"/>
        </w:rPr>
        <w:t xml:space="preserve">; Also see </w:t>
      </w:r>
      <w:proofErr w:type="spellStart"/>
      <w:r w:rsidRPr="00FE4953">
        <w:rPr>
          <w:rFonts w:ascii="Times New Roman" w:hAnsi="Times New Roman" w:cs="Times New Roman"/>
          <w:sz w:val="28"/>
          <w:szCs w:val="28"/>
        </w:rPr>
        <w:t>Shriram</w:t>
      </w:r>
      <w:proofErr w:type="spellEnd"/>
      <w:r w:rsidRPr="00FE4953">
        <w:rPr>
          <w:rFonts w:ascii="Times New Roman" w:hAnsi="Times New Roman" w:cs="Times New Roman"/>
          <w:sz w:val="28"/>
          <w:szCs w:val="28"/>
        </w:rPr>
        <w:t xml:space="preserve"> EPC Limited vs. </w:t>
      </w:r>
      <w:proofErr w:type="spellStart"/>
      <w:r w:rsidRPr="00FE4953">
        <w:rPr>
          <w:rFonts w:ascii="Times New Roman" w:hAnsi="Times New Roman" w:cs="Times New Roman"/>
          <w:sz w:val="28"/>
          <w:szCs w:val="28"/>
        </w:rPr>
        <w:t>Rioglass</w:t>
      </w:r>
      <w:proofErr w:type="spellEnd"/>
      <w:r w:rsidRPr="00FE4953">
        <w:rPr>
          <w:rFonts w:ascii="Times New Roman" w:hAnsi="Times New Roman" w:cs="Times New Roman"/>
          <w:sz w:val="28"/>
          <w:szCs w:val="28"/>
        </w:rPr>
        <w:t xml:space="preserve"> Solar </w:t>
      </w:r>
      <w:proofErr w:type="gramStart"/>
      <w:r w:rsidRPr="00FE4953">
        <w:rPr>
          <w:rFonts w:ascii="Times New Roman" w:hAnsi="Times New Roman" w:cs="Times New Roman"/>
          <w:sz w:val="28"/>
          <w:szCs w:val="28"/>
        </w:rPr>
        <w:t>SA,</w:t>
      </w:r>
      <w:r w:rsidRPr="00FE4953">
        <w:rPr>
          <w:rStyle w:val="FootnoteReference"/>
          <w:rFonts w:ascii="Times New Roman" w:hAnsi="Times New Roman" w:cs="Times New Roman"/>
          <w:sz w:val="28"/>
          <w:szCs w:val="28"/>
        </w:rPr>
        <w:footnoteReference w:id="7"/>
      </w:r>
      <w:r w:rsidRPr="00FE4953">
        <w:rPr>
          <w:rFonts w:ascii="Times New Roman" w:hAnsi="Times New Roman" w:cs="Times New Roman"/>
          <w:sz w:val="28"/>
          <w:szCs w:val="28"/>
        </w:rPr>
        <w:t>.</w:t>
      </w:r>
      <w:proofErr w:type="gramEnd"/>
      <w:r w:rsidRPr="00FE4953">
        <w:rPr>
          <w:rFonts w:ascii="Times New Roman" w:hAnsi="Times New Roman" w:cs="Times New Roman"/>
          <w:sz w:val="28"/>
          <w:szCs w:val="28"/>
        </w:rPr>
        <w:t xml:space="preserve"> The Supreme Court also held that the NYC did not envisage refusal of recognition and enforcement of a foreign award on the grounds of it being contrary to the law of the country where enforcement was sought. Further, while interpreting “public policy” under the 1961 Act, the Supreme Court held that it must be construed in the sense the doctrine of public policy is applied in the field of private international law. However, peculiarly, the Supreme Court (two-judge bench) in 2011 in </w:t>
      </w:r>
      <w:proofErr w:type="spellStart"/>
      <w:r w:rsidRPr="00FE4953">
        <w:rPr>
          <w:rFonts w:ascii="Times New Roman" w:hAnsi="Times New Roman" w:cs="Times New Roman"/>
          <w:sz w:val="28"/>
          <w:szCs w:val="28"/>
        </w:rPr>
        <w:t>Phulchand</w:t>
      </w:r>
      <w:proofErr w:type="spellEnd"/>
      <w:r w:rsidRPr="00FE4953">
        <w:rPr>
          <w:rFonts w:ascii="Times New Roman" w:hAnsi="Times New Roman" w:cs="Times New Roman"/>
          <w:sz w:val="28"/>
          <w:szCs w:val="28"/>
        </w:rPr>
        <w:t xml:space="preserve"> Exports v. OOO </w:t>
      </w:r>
      <w:r w:rsidRPr="00FE4953">
        <w:rPr>
          <w:rFonts w:ascii="Times New Roman" w:hAnsi="Times New Roman" w:cs="Times New Roman"/>
          <w:sz w:val="28"/>
          <w:szCs w:val="28"/>
        </w:rPr>
        <w:lastRenderedPageBreak/>
        <w:t>Patriot.</w:t>
      </w:r>
      <w:r w:rsidRPr="00FE4953">
        <w:rPr>
          <w:rStyle w:val="FootnoteReference"/>
          <w:rFonts w:ascii="Times New Roman" w:hAnsi="Times New Roman" w:cs="Times New Roman"/>
          <w:sz w:val="28"/>
          <w:szCs w:val="28"/>
        </w:rPr>
        <w:footnoteReference w:id="8"/>
      </w:r>
      <w:r w:rsidRPr="00FE4953">
        <w:rPr>
          <w:rFonts w:ascii="Times New Roman" w:hAnsi="Times New Roman" w:cs="Times New Roman"/>
          <w:sz w:val="28"/>
          <w:szCs w:val="28"/>
        </w:rPr>
        <w:t xml:space="preserve"> (</w:t>
      </w:r>
      <w:proofErr w:type="gramStart"/>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Phulchand</w:t>
      </w:r>
      <w:proofErr w:type="spellEnd"/>
      <w:proofErr w:type="gramEnd"/>
      <w:r w:rsidRPr="00FE4953">
        <w:rPr>
          <w:rFonts w:ascii="Times New Roman" w:hAnsi="Times New Roman" w:cs="Times New Roman"/>
          <w:sz w:val="28"/>
          <w:szCs w:val="28"/>
        </w:rPr>
        <w:t>”), while relying on ONGC v. SAW Pipes</w:t>
      </w:r>
      <w:r w:rsidRPr="00FE4953">
        <w:rPr>
          <w:rStyle w:val="FootnoteReference"/>
          <w:rFonts w:ascii="Times New Roman" w:hAnsi="Times New Roman" w:cs="Times New Roman"/>
          <w:sz w:val="28"/>
          <w:szCs w:val="28"/>
        </w:rPr>
        <w:footnoteReference w:id="9"/>
      </w:r>
      <w:r w:rsidRPr="00FE4953">
        <w:rPr>
          <w:rFonts w:ascii="Times New Roman" w:hAnsi="Times New Roman" w:cs="Times New Roman"/>
          <w:sz w:val="28"/>
          <w:szCs w:val="28"/>
        </w:rPr>
        <w:t xml:space="preserve">  (“Saw Pipes”) (a decision where the award was challenged under Part I - Section 34), interpreted Section 48(2)(b) in the same vein as Section 34 of the Arbitration Act. It did so by holding that a foreign award could be set aside if “it is patently illegal”. The implication of the </w:t>
      </w:r>
      <w:proofErr w:type="spellStart"/>
      <w:r w:rsidRPr="00FE4953">
        <w:rPr>
          <w:rFonts w:ascii="Times New Roman" w:hAnsi="Times New Roman" w:cs="Times New Roman"/>
          <w:sz w:val="28"/>
          <w:szCs w:val="28"/>
        </w:rPr>
        <w:t>Phulchand</w:t>
      </w:r>
      <w:proofErr w:type="spellEnd"/>
      <w:r w:rsidRPr="00FE4953">
        <w:rPr>
          <w:rFonts w:ascii="Times New Roman" w:hAnsi="Times New Roman" w:cs="Times New Roman"/>
          <w:sz w:val="28"/>
          <w:szCs w:val="28"/>
        </w:rPr>
        <w:t xml:space="preserve"> judgment was that a foreign award, at the time of enforcement, was susceptible to challenge on the same ground as a domestic award. Subsequently, in 2013, the Supreme Court (three-judge bench) in Shri </w:t>
      </w:r>
      <w:proofErr w:type="spellStart"/>
      <w:r w:rsidRPr="00FE4953">
        <w:rPr>
          <w:rFonts w:ascii="Times New Roman" w:hAnsi="Times New Roman" w:cs="Times New Roman"/>
          <w:sz w:val="28"/>
          <w:szCs w:val="28"/>
        </w:rPr>
        <w:t>Lal</w:t>
      </w:r>
      <w:proofErr w:type="spellEnd"/>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Mahal</w:t>
      </w:r>
      <w:proofErr w:type="spellEnd"/>
      <w:r w:rsidRPr="00FE4953">
        <w:rPr>
          <w:rFonts w:ascii="Times New Roman" w:hAnsi="Times New Roman" w:cs="Times New Roman"/>
          <w:sz w:val="28"/>
          <w:szCs w:val="28"/>
        </w:rPr>
        <w:t xml:space="preserve"> Ltd. v. </w:t>
      </w:r>
      <w:proofErr w:type="spellStart"/>
      <w:r w:rsidRPr="00FE4953">
        <w:rPr>
          <w:rFonts w:ascii="Times New Roman" w:hAnsi="Times New Roman" w:cs="Times New Roman"/>
          <w:sz w:val="28"/>
          <w:szCs w:val="28"/>
        </w:rPr>
        <w:t>Progetto</w:t>
      </w:r>
      <w:proofErr w:type="spellEnd"/>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Grano</w:t>
      </w:r>
      <w:proofErr w:type="spellEnd"/>
      <w:r w:rsidRPr="00FE4953">
        <w:rPr>
          <w:rFonts w:ascii="Times New Roman" w:hAnsi="Times New Roman" w:cs="Times New Roman"/>
          <w:sz w:val="28"/>
          <w:szCs w:val="28"/>
        </w:rPr>
        <w:t xml:space="preserve"> SPA,</w:t>
      </w:r>
      <w:r w:rsidRPr="00FE4953">
        <w:rPr>
          <w:rStyle w:val="FootnoteReference"/>
          <w:rFonts w:ascii="Times New Roman" w:hAnsi="Times New Roman" w:cs="Times New Roman"/>
          <w:sz w:val="28"/>
          <w:szCs w:val="28"/>
        </w:rPr>
        <w:footnoteReference w:id="10"/>
      </w:r>
      <w:r w:rsidRPr="00FE4953">
        <w:rPr>
          <w:rFonts w:ascii="Times New Roman" w:hAnsi="Times New Roman" w:cs="Times New Roman"/>
          <w:sz w:val="28"/>
          <w:szCs w:val="28"/>
        </w:rPr>
        <w:t xml:space="preserve"> (“Shri </w:t>
      </w:r>
      <w:proofErr w:type="spellStart"/>
      <w:r w:rsidRPr="00FE4953">
        <w:rPr>
          <w:rFonts w:ascii="Times New Roman" w:hAnsi="Times New Roman" w:cs="Times New Roman"/>
          <w:sz w:val="28"/>
          <w:szCs w:val="28"/>
        </w:rPr>
        <w:t>Lal</w:t>
      </w:r>
      <w:proofErr w:type="spellEnd"/>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Mahal</w:t>
      </w:r>
      <w:proofErr w:type="spellEnd"/>
      <w:r w:rsidRPr="00FE4953">
        <w:rPr>
          <w:rFonts w:ascii="Times New Roman" w:hAnsi="Times New Roman" w:cs="Times New Roman"/>
          <w:sz w:val="28"/>
          <w:szCs w:val="28"/>
        </w:rPr>
        <w:t xml:space="preserve">”) while overruling </w:t>
      </w:r>
      <w:proofErr w:type="spellStart"/>
      <w:r w:rsidRPr="00FE4953">
        <w:rPr>
          <w:rFonts w:ascii="Times New Roman" w:hAnsi="Times New Roman" w:cs="Times New Roman"/>
          <w:sz w:val="28"/>
          <w:szCs w:val="28"/>
        </w:rPr>
        <w:t>Phulchand</w:t>
      </w:r>
      <w:proofErr w:type="spellEnd"/>
      <w:r w:rsidRPr="00FE4953">
        <w:rPr>
          <w:rFonts w:ascii="Times New Roman" w:hAnsi="Times New Roman" w:cs="Times New Roman"/>
          <w:sz w:val="28"/>
          <w:szCs w:val="28"/>
        </w:rPr>
        <w:t xml:space="preserve">, stated that the wide interpretation given in the case of Saw Pipes to the expression “public policy of India” was in the context of a domestic award facing challenge under Section 34 and the same was certainly not applicable if the award were a foreign award, challenged under Section 48. The Supreme Court clarified that although the same expression “public policy of India” is used in Part I (Section 34) and Part II (Section 48), it has to be applied differently. Its application for the purpose of a foreign award under Section 48 is more limited as opposed to when it is used in the context of a domestic award. The unarticulated premise appears to be that this is because a foreign award has already been challenged at the seat court, or become final (when not challenged), in contrast to a domestic award, which is challenged under Section 34.  The Supreme Court in Shri </w:t>
      </w:r>
      <w:proofErr w:type="spellStart"/>
      <w:r w:rsidRPr="00FE4953">
        <w:rPr>
          <w:rFonts w:ascii="Times New Roman" w:hAnsi="Times New Roman" w:cs="Times New Roman"/>
          <w:sz w:val="28"/>
          <w:szCs w:val="28"/>
        </w:rPr>
        <w:t>Lal</w:t>
      </w:r>
      <w:proofErr w:type="spellEnd"/>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Mahal</w:t>
      </w:r>
      <w:proofErr w:type="spellEnd"/>
      <w:r w:rsidRPr="00FE4953">
        <w:rPr>
          <w:rFonts w:ascii="Times New Roman" w:hAnsi="Times New Roman" w:cs="Times New Roman"/>
          <w:sz w:val="28"/>
          <w:szCs w:val="28"/>
        </w:rPr>
        <w:t xml:space="preserve"> also held that the scope of the defence of public policy as explained in </w:t>
      </w:r>
      <w:proofErr w:type="spellStart"/>
      <w:r w:rsidRPr="00FE4953">
        <w:rPr>
          <w:rFonts w:ascii="Times New Roman" w:hAnsi="Times New Roman" w:cs="Times New Roman"/>
          <w:sz w:val="28"/>
          <w:szCs w:val="28"/>
        </w:rPr>
        <w:t>Renusagar</w:t>
      </w:r>
      <w:proofErr w:type="spellEnd"/>
      <w:r w:rsidRPr="00FE4953">
        <w:rPr>
          <w:rFonts w:ascii="Times New Roman" w:hAnsi="Times New Roman" w:cs="Times New Roman"/>
          <w:sz w:val="28"/>
          <w:szCs w:val="28"/>
        </w:rPr>
        <w:t>, “would apply equally” to the defence of public policy under Section 48(2</w:t>
      </w:r>
      <w:proofErr w:type="gramStart"/>
      <w:r w:rsidRPr="00FE4953">
        <w:rPr>
          <w:rFonts w:ascii="Times New Roman" w:hAnsi="Times New Roman" w:cs="Times New Roman"/>
          <w:sz w:val="28"/>
          <w:szCs w:val="28"/>
        </w:rPr>
        <w:t>)(</w:t>
      </w:r>
      <w:proofErr w:type="gramEnd"/>
      <w:r w:rsidRPr="00FE4953">
        <w:rPr>
          <w:rFonts w:ascii="Times New Roman" w:hAnsi="Times New Roman" w:cs="Times New Roman"/>
          <w:sz w:val="28"/>
          <w:szCs w:val="28"/>
        </w:rPr>
        <w:t xml:space="preserve">b) of the Arbitration Act. The Court also held that it was impermissible for a court to have a “second look” at the foreign award under Section 48 and that the scope of enquiry under Section 48 does not permit a “review of the foreign award on merits”. It was also clarified that while considering the enforceability of foreign awards, the court “does not exercise appellate jurisdiction over the foreign award” nor does the </w:t>
      </w:r>
      <w:r w:rsidRPr="00FE4953">
        <w:rPr>
          <w:rFonts w:ascii="Times New Roman" w:hAnsi="Times New Roman" w:cs="Times New Roman"/>
          <w:sz w:val="28"/>
          <w:szCs w:val="28"/>
        </w:rPr>
        <w:lastRenderedPageBreak/>
        <w:t xml:space="preserve">court enquire as to whether, while rendering a foreign award, “some error has been committed”. Lastly, the Supreme Court reiterated the three grounds as highlighted in </w:t>
      </w:r>
      <w:proofErr w:type="spellStart"/>
      <w:r w:rsidRPr="00FE4953">
        <w:rPr>
          <w:rFonts w:ascii="Times New Roman" w:hAnsi="Times New Roman" w:cs="Times New Roman"/>
          <w:sz w:val="28"/>
          <w:szCs w:val="28"/>
        </w:rPr>
        <w:t>Renusagar</w:t>
      </w:r>
      <w:proofErr w:type="spellEnd"/>
      <w:r w:rsidRPr="00FE4953">
        <w:rPr>
          <w:rFonts w:ascii="Times New Roman" w:hAnsi="Times New Roman" w:cs="Times New Roman"/>
          <w:sz w:val="28"/>
          <w:szCs w:val="28"/>
        </w:rPr>
        <w:t>, i.e. (i) fundamental policy of Indian law; or (ii) interests of India; or (iii) justice or morality, under which the enforcement of a foreign award could be refused under Section 48.</w:t>
      </w:r>
    </w:p>
    <w:p w14:paraId="54FA02E6" w14:textId="77777777" w:rsidR="00FE4953" w:rsidRDefault="00FE4953" w:rsidP="00FE4953">
      <w:pPr>
        <w:spacing w:line="360" w:lineRule="auto"/>
        <w:jc w:val="both"/>
        <w:rPr>
          <w:rFonts w:ascii="Times New Roman" w:hAnsi="Times New Roman" w:cs="Times New Roman"/>
          <w:b/>
          <w:sz w:val="28"/>
          <w:szCs w:val="28"/>
          <w:u w:val="single"/>
        </w:rPr>
      </w:pPr>
      <w:r w:rsidRPr="00FE4953">
        <w:rPr>
          <w:rFonts w:ascii="Times New Roman" w:hAnsi="Times New Roman" w:cs="Times New Roman"/>
          <w:sz w:val="28"/>
          <w:szCs w:val="28"/>
        </w:rPr>
        <w:t xml:space="preserve"> </w:t>
      </w:r>
      <w:proofErr w:type="gramStart"/>
      <w:r w:rsidRPr="00FE4953">
        <w:rPr>
          <w:rFonts w:ascii="Times New Roman" w:hAnsi="Times New Roman" w:cs="Times New Roman"/>
          <w:b/>
          <w:sz w:val="28"/>
          <w:szCs w:val="28"/>
          <w:u w:val="single"/>
        </w:rPr>
        <w:t>246</w:t>
      </w:r>
      <w:r w:rsidRPr="00FE4953">
        <w:rPr>
          <w:rFonts w:ascii="Times New Roman" w:hAnsi="Times New Roman" w:cs="Times New Roman"/>
          <w:b/>
          <w:sz w:val="28"/>
          <w:szCs w:val="28"/>
          <w:u w:val="single"/>
          <w:vertAlign w:val="superscript"/>
        </w:rPr>
        <w:t>th</w:t>
      </w:r>
      <w:r w:rsidRPr="00FE4953">
        <w:rPr>
          <w:rFonts w:ascii="Times New Roman" w:hAnsi="Times New Roman" w:cs="Times New Roman"/>
          <w:b/>
          <w:sz w:val="28"/>
          <w:szCs w:val="28"/>
          <w:u w:val="single"/>
        </w:rPr>
        <w:t xml:space="preserve">  LAW</w:t>
      </w:r>
      <w:proofErr w:type="gramEnd"/>
      <w:r w:rsidRPr="00FE4953">
        <w:rPr>
          <w:rFonts w:ascii="Times New Roman" w:hAnsi="Times New Roman" w:cs="Times New Roman"/>
          <w:b/>
          <w:sz w:val="28"/>
          <w:szCs w:val="28"/>
          <w:u w:val="single"/>
        </w:rPr>
        <w:t xml:space="preserve"> COMMISSION REPORT</w:t>
      </w:r>
    </w:p>
    <w:p w14:paraId="5336118D" w14:textId="463628AF" w:rsidR="00E56097" w:rsidRDefault="00FE4953" w:rsidP="00F17C4E">
      <w:pPr>
        <w:pStyle w:val="NormalWeb"/>
        <w:spacing w:line="360" w:lineRule="auto"/>
        <w:jc w:val="both"/>
        <w:rPr>
          <w:sz w:val="28"/>
          <w:szCs w:val="28"/>
          <w:shd w:val="clear" w:color="auto" w:fill="FFFFFF"/>
        </w:rPr>
      </w:pPr>
      <w:r w:rsidRPr="00FE4953">
        <w:rPr>
          <w:sz w:val="28"/>
          <w:szCs w:val="28"/>
          <w:shd w:val="clear" w:color="auto" w:fill="FFFFFF"/>
        </w:rPr>
        <w:t xml:space="preserve">The 2015 amendments to Section </w:t>
      </w:r>
      <w:proofErr w:type="gramStart"/>
      <w:r w:rsidRPr="00FE4953">
        <w:rPr>
          <w:sz w:val="28"/>
          <w:szCs w:val="28"/>
          <w:shd w:val="clear" w:color="auto" w:fill="FFFFFF"/>
        </w:rPr>
        <w:t>34</w:t>
      </w:r>
      <w:r>
        <w:rPr>
          <w:sz w:val="28"/>
          <w:szCs w:val="28"/>
          <w:shd w:val="clear" w:color="auto" w:fill="FFFFFF"/>
        </w:rPr>
        <w:t xml:space="preserve"> </w:t>
      </w:r>
      <w:r w:rsidR="00621115">
        <w:rPr>
          <w:sz w:val="28"/>
          <w:szCs w:val="28"/>
          <w:shd w:val="clear" w:color="auto" w:fill="FFFFFF"/>
        </w:rPr>
        <w:t xml:space="preserve"> </w:t>
      </w:r>
      <w:r w:rsidRPr="00FE4953">
        <w:rPr>
          <w:sz w:val="28"/>
          <w:szCs w:val="28"/>
          <w:shd w:val="clear" w:color="auto" w:fill="FFFFFF"/>
        </w:rPr>
        <w:t>and</w:t>
      </w:r>
      <w:proofErr w:type="gramEnd"/>
      <w:r w:rsidRPr="00FE4953">
        <w:rPr>
          <w:sz w:val="28"/>
          <w:szCs w:val="28"/>
          <w:shd w:val="clear" w:color="auto" w:fill="FFFFFF"/>
        </w:rPr>
        <w:t> </w:t>
      </w:r>
      <w:r>
        <w:rPr>
          <w:sz w:val="28"/>
          <w:szCs w:val="28"/>
          <w:shd w:val="clear" w:color="auto" w:fill="FFFFFF"/>
        </w:rPr>
        <w:t>48</w:t>
      </w:r>
      <w:r w:rsidRPr="00FE4953">
        <w:rPr>
          <w:sz w:val="28"/>
          <w:szCs w:val="28"/>
          <w:shd w:val="clear" w:color="auto" w:fill="FFFFFF"/>
        </w:rPr>
        <w:t xml:space="preserve"> of the Act were on the basis of the Supplementary Report no.246 of the Law Commission of India and sought to prevent review on merits as done in the case of Western </w:t>
      </w:r>
      <w:proofErr w:type="spellStart"/>
      <w:r w:rsidRPr="00FE4953">
        <w:rPr>
          <w:sz w:val="28"/>
          <w:szCs w:val="28"/>
          <w:shd w:val="clear" w:color="auto" w:fill="FFFFFF"/>
        </w:rPr>
        <w:t>Geco</w:t>
      </w:r>
      <w:proofErr w:type="spellEnd"/>
      <w:r w:rsidRPr="00FE4953">
        <w:rPr>
          <w:sz w:val="28"/>
          <w:szCs w:val="28"/>
          <w:shd w:val="clear" w:color="auto" w:fill="FFFFFF"/>
        </w:rPr>
        <w:t xml:space="preserve"> (supra). The Court revisited the findings in the arbitration and reviewed those findings to ascertain whether they were sustainable in the light of the evidence on record. In Western </w:t>
      </w:r>
      <w:proofErr w:type="spellStart"/>
      <w:r w:rsidRPr="00FE4953">
        <w:rPr>
          <w:sz w:val="28"/>
          <w:szCs w:val="28"/>
          <w:shd w:val="clear" w:color="auto" w:fill="FFFFFF"/>
        </w:rPr>
        <w:t>Geco</w:t>
      </w:r>
      <w:proofErr w:type="spellEnd"/>
      <w:r w:rsidRPr="00FE4953">
        <w:rPr>
          <w:sz w:val="28"/>
          <w:szCs w:val="28"/>
          <w:shd w:val="clear" w:color="auto" w:fill="FFFFFF"/>
        </w:rPr>
        <w:t xml:space="preserve"> (supra) the challenge was not as much as of the procedure adopted by the tribunal but that on the basis of the record, the tribunal ought to have arrived at a different conclusion. This approach in Western </w:t>
      </w:r>
      <w:proofErr w:type="spellStart"/>
      <w:r w:rsidRPr="00FE4953">
        <w:rPr>
          <w:sz w:val="28"/>
          <w:szCs w:val="28"/>
          <w:shd w:val="clear" w:color="auto" w:fill="FFFFFF"/>
        </w:rPr>
        <w:t>Geco</w:t>
      </w:r>
      <w:proofErr w:type="spellEnd"/>
      <w:r w:rsidRPr="00FE4953">
        <w:rPr>
          <w:sz w:val="28"/>
          <w:szCs w:val="28"/>
          <w:shd w:val="clear" w:color="auto" w:fill="FFFFFF"/>
        </w:rPr>
        <w:t xml:space="preserve"> (supra) amounted to a review on merits. The Supplementary Report refers to the wider interpretation of the term "public policy" by including the </w:t>
      </w:r>
      <w:proofErr w:type="spellStart"/>
      <w:r w:rsidRPr="00FE4953">
        <w:rPr>
          <w:sz w:val="28"/>
          <w:szCs w:val="28"/>
          <w:shd w:val="clear" w:color="auto" w:fill="FFFFFF"/>
        </w:rPr>
        <w:t>Wednesbury</w:t>
      </w:r>
      <w:proofErr w:type="spellEnd"/>
      <w:r w:rsidRPr="00FE4953">
        <w:rPr>
          <w:sz w:val="28"/>
          <w:szCs w:val="28"/>
          <w:shd w:val="clear" w:color="auto" w:fill="FFFFFF"/>
        </w:rPr>
        <w:t xml:space="preserve"> principle of reasonableness within the expression "fundamental policy of Indian Law" alluding to the possibility of a review on merits. It is such a review on merits that the legislature sought to do away with   by introducing Explanation 2 to Section 34(2) and 48(2).</w:t>
      </w:r>
    </w:p>
    <w:p w14:paraId="164E0F72" w14:textId="5C4C33D3" w:rsidR="00FE4953" w:rsidRPr="00FE4953" w:rsidRDefault="00FE4953" w:rsidP="00F17C4E">
      <w:pPr>
        <w:pStyle w:val="NormalWeb"/>
        <w:spacing w:line="360" w:lineRule="auto"/>
        <w:jc w:val="both"/>
        <w:rPr>
          <w:sz w:val="28"/>
          <w:szCs w:val="28"/>
        </w:rPr>
      </w:pPr>
      <w:r w:rsidRPr="00FE4953">
        <w:rPr>
          <w:sz w:val="28"/>
          <w:szCs w:val="28"/>
        </w:rPr>
        <w:t xml:space="preserve">On 5 August 2014, the 246th report of the Law Commission of India - “Amendments to the Arbitration and Conciliation Act 1996” (“LC Report”) suggested several significant amendments to the Arbitration Act. The principal object was to make the Arbitration Act more effective and in line with international standards. One of the primary objects of the LC Report was aimed at boosting the confidence of foreign investors by ensuring that arbitration matters are dealt with expeditiously; one of their main concerns being the </w:t>
      </w:r>
      <w:r w:rsidRPr="00FE4953">
        <w:rPr>
          <w:sz w:val="28"/>
          <w:szCs w:val="28"/>
        </w:rPr>
        <w:lastRenderedPageBreak/>
        <w:t xml:space="preserve">inordinate delay in Indian courts and arbitration tribunals in resolving the disputes. In order to minimize judicial interference, the Law Commission recommended that the definition of “public policy” must be restricted and be brought in line with what was held by the Supreme Court in </w:t>
      </w:r>
      <w:proofErr w:type="spellStart"/>
      <w:r w:rsidRPr="00FE4953">
        <w:rPr>
          <w:sz w:val="28"/>
          <w:szCs w:val="28"/>
        </w:rPr>
        <w:t>Renusagar</w:t>
      </w:r>
      <w:proofErr w:type="spellEnd"/>
      <w:r w:rsidRPr="00FE4953">
        <w:rPr>
          <w:sz w:val="28"/>
          <w:szCs w:val="28"/>
        </w:rPr>
        <w:t xml:space="preserve">.  However, after the LC Report, the Supreme Court (three-judge bench) on 14 September 2014 in ONGC v. Western </w:t>
      </w:r>
      <w:proofErr w:type="spellStart"/>
      <w:r w:rsidRPr="00FE4953">
        <w:rPr>
          <w:sz w:val="28"/>
          <w:szCs w:val="28"/>
        </w:rPr>
        <w:t>Geco</w:t>
      </w:r>
      <w:proofErr w:type="spellEnd"/>
      <w:r w:rsidRPr="00FE4953">
        <w:rPr>
          <w:sz w:val="28"/>
          <w:szCs w:val="28"/>
        </w:rPr>
        <w:t xml:space="preserve">  (“Western </w:t>
      </w:r>
      <w:proofErr w:type="spellStart"/>
      <w:r w:rsidRPr="00FE4953">
        <w:rPr>
          <w:sz w:val="28"/>
          <w:szCs w:val="28"/>
        </w:rPr>
        <w:t>Geco</w:t>
      </w:r>
      <w:proofErr w:type="spellEnd"/>
      <w:r w:rsidRPr="00FE4953">
        <w:rPr>
          <w:sz w:val="28"/>
          <w:szCs w:val="28"/>
        </w:rPr>
        <w:t>”)</w:t>
      </w:r>
      <w:r w:rsidRPr="00FE4953">
        <w:rPr>
          <w:rStyle w:val="FootnoteReference"/>
          <w:sz w:val="28"/>
          <w:szCs w:val="28"/>
        </w:rPr>
        <w:footnoteReference w:id="11"/>
      </w:r>
      <w:r w:rsidRPr="00FE4953">
        <w:rPr>
          <w:sz w:val="28"/>
          <w:szCs w:val="28"/>
        </w:rPr>
        <w:t xml:space="preserve"> examined the question “[w]hat then would constitute the ‘Fundamental policy of Indian Law’” under Section 34 of the Arbitration Act and held that (a) judicial approach (b) principles of natural justice and (c) rationality of reasonableness (</w:t>
      </w:r>
      <w:proofErr w:type="spellStart"/>
      <w:r w:rsidRPr="00FE4953">
        <w:rPr>
          <w:sz w:val="28"/>
          <w:szCs w:val="28"/>
        </w:rPr>
        <w:t>Wednesbury</w:t>
      </w:r>
      <w:proofErr w:type="spellEnd"/>
      <w:r w:rsidRPr="00FE4953">
        <w:rPr>
          <w:sz w:val="28"/>
          <w:szCs w:val="28"/>
        </w:rPr>
        <w:t xml:space="preserve"> principles) “must necessarily be understood as a part and parcel of the Fundamental Policy of Indian law”. After the decision of Western </w:t>
      </w:r>
      <w:proofErr w:type="spellStart"/>
      <w:r w:rsidRPr="00FE4953">
        <w:rPr>
          <w:sz w:val="28"/>
          <w:szCs w:val="28"/>
        </w:rPr>
        <w:t>Geco</w:t>
      </w:r>
      <w:proofErr w:type="spellEnd"/>
      <w:r w:rsidRPr="00FE4953">
        <w:rPr>
          <w:sz w:val="28"/>
          <w:szCs w:val="28"/>
        </w:rPr>
        <w:t xml:space="preserve"> and due to the “deleterious effect” of the judgment, the Law Commission of India, in February 2015, issued a Supplementary Report to the LC Report. The Law Commission noted that the Supreme Court's ruling in Western </w:t>
      </w:r>
      <w:proofErr w:type="spellStart"/>
      <w:r w:rsidRPr="00FE4953">
        <w:rPr>
          <w:sz w:val="28"/>
          <w:szCs w:val="28"/>
        </w:rPr>
        <w:t>Geco</w:t>
      </w:r>
      <w:proofErr w:type="spellEnd"/>
      <w:r w:rsidRPr="00FE4953">
        <w:rPr>
          <w:sz w:val="28"/>
          <w:szCs w:val="28"/>
        </w:rPr>
        <w:t xml:space="preserve"> undermines the recommendations made in the LC Report and accordingly, recommended that further clarifications are required in Section 48 of the Arbitration Act to ensure that the ground of “fundamental policy of Indian law” is narrowly construed. </w:t>
      </w:r>
    </w:p>
    <w:p w14:paraId="4BB34362" w14:textId="77777777" w:rsidR="00FE4953" w:rsidRPr="00FE4953" w:rsidRDefault="00FE4953" w:rsidP="00FE4953">
      <w:pPr>
        <w:spacing w:line="360" w:lineRule="auto"/>
        <w:jc w:val="both"/>
        <w:rPr>
          <w:rFonts w:ascii="Times New Roman" w:hAnsi="Times New Roman" w:cs="Times New Roman"/>
          <w:b/>
          <w:sz w:val="28"/>
          <w:szCs w:val="28"/>
          <w:u w:val="single"/>
        </w:rPr>
      </w:pPr>
      <w:r w:rsidRPr="00FE4953">
        <w:rPr>
          <w:rFonts w:ascii="Times New Roman" w:hAnsi="Times New Roman" w:cs="Times New Roman"/>
          <w:b/>
          <w:sz w:val="28"/>
          <w:szCs w:val="28"/>
          <w:u w:val="single"/>
        </w:rPr>
        <w:t>POST AMENDMENT 2015</w:t>
      </w:r>
    </w:p>
    <w:p w14:paraId="372CDE91" w14:textId="77777777" w:rsidR="00FE4953" w:rsidRPr="00FE4953" w:rsidRDefault="00FE4953" w:rsidP="00FE4953">
      <w:pPr>
        <w:spacing w:line="360" w:lineRule="auto"/>
        <w:jc w:val="both"/>
        <w:rPr>
          <w:rFonts w:ascii="Times New Roman" w:hAnsi="Times New Roman" w:cs="Times New Roman"/>
          <w:b/>
          <w:sz w:val="28"/>
          <w:szCs w:val="28"/>
        </w:rPr>
      </w:pPr>
      <w:r w:rsidRPr="00FE4953">
        <w:rPr>
          <w:rFonts w:ascii="Times New Roman" w:hAnsi="Times New Roman" w:cs="Times New Roman"/>
          <w:sz w:val="28"/>
          <w:szCs w:val="28"/>
          <w:shd w:val="clear" w:color="auto" w:fill="FFFFFF"/>
        </w:rPr>
        <w:t>2015 amendment Explanation 2 prohibits the review on merits of the dispute while considering a challenge to the enforcement on the ground that it is in contravention with the fundamental policy of Indian law.</w:t>
      </w:r>
    </w:p>
    <w:p w14:paraId="4F6343F5" w14:textId="61589D01" w:rsidR="00FE4953" w:rsidRPr="00FE4953" w:rsidRDefault="00FE4953" w:rsidP="00FE4953">
      <w:pPr>
        <w:spacing w:line="360" w:lineRule="auto"/>
        <w:jc w:val="both"/>
        <w:rPr>
          <w:rFonts w:ascii="Times New Roman" w:hAnsi="Times New Roman" w:cs="Times New Roman"/>
          <w:sz w:val="28"/>
          <w:szCs w:val="28"/>
          <w:shd w:val="clear" w:color="auto" w:fill="FFFFFF"/>
        </w:rPr>
      </w:pPr>
      <w:r w:rsidRPr="00FE4953">
        <w:rPr>
          <w:rFonts w:ascii="Times New Roman" w:hAnsi="Times New Roman" w:cs="Times New Roman"/>
          <w:sz w:val="28"/>
          <w:szCs w:val="28"/>
          <w:shd w:val="clear" w:color="auto" w:fill="FFFFFF"/>
        </w:rPr>
        <w:t>The  2015 amendment to the Arbitration and Conciliation Act</w:t>
      </w:r>
      <w:r>
        <w:rPr>
          <w:rFonts w:ascii="Times New Roman" w:hAnsi="Times New Roman" w:cs="Times New Roman"/>
          <w:sz w:val="28"/>
          <w:szCs w:val="28"/>
          <w:shd w:val="clear" w:color="auto" w:fill="FFFFFF"/>
        </w:rPr>
        <w:t xml:space="preserve"> </w:t>
      </w:r>
      <w:r w:rsidRPr="00FE4953">
        <w:rPr>
          <w:rFonts w:ascii="Times New Roman" w:hAnsi="Times New Roman" w:cs="Times New Roman"/>
          <w:sz w:val="28"/>
          <w:szCs w:val="28"/>
          <w:shd w:val="clear" w:color="auto" w:fill="FFFFFF"/>
        </w:rPr>
        <w:t xml:space="preserve">grants for opposing enforcement of foreign award only include public policy restricted to fundamental policy of Indian Law is contemplated in </w:t>
      </w:r>
      <w:proofErr w:type="spellStart"/>
      <w:r w:rsidRPr="00FE4953">
        <w:rPr>
          <w:rFonts w:ascii="Times New Roman" w:hAnsi="Times New Roman" w:cs="Times New Roman"/>
          <w:sz w:val="28"/>
          <w:szCs w:val="28"/>
          <w:shd w:val="clear" w:color="auto" w:fill="FFFFFF"/>
        </w:rPr>
        <w:t>Renusagar</w:t>
      </w:r>
      <w:proofErr w:type="spellEnd"/>
      <w:r w:rsidRPr="00FE4953">
        <w:rPr>
          <w:rFonts w:ascii="Times New Roman" w:hAnsi="Times New Roman" w:cs="Times New Roman"/>
          <w:sz w:val="28"/>
          <w:szCs w:val="28"/>
          <w:shd w:val="clear" w:color="auto" w:fill="FFFFFF"/>
        </w:rPr>
        <w:t xml:space="preserve"> (supra) and Shri </w:t>
      </w:r>
      <w:proofErr w:type="spellStart"/>
      <w:r w:rsidRPr="00FE4953">
        <w:rPr>
          <w:rFonts w:ascii="Times New Roman" w:hAnsi="Times New Roman" w:cs="Times New Roman"/>
          <w:sz w:val="28"/>
          <w:szCs w:val="28"/>
          <w:shd w:val="clear" w:color="auto" w:fill="FFFFFF"/>
        </w:rPr>
        <w:t>Lal</w:t>
      </w:r>
      <w:proofErr w:type="spellEnd"/>
      <w:r w:rsidRPr="00FE4953">
        <w:rPr>
          <w:rFonts w:ascii="Times New Roman" w:hAnsi="Times New Roman" w:cs="Times New Roman"/>
          <w:sz w:val="28"/>
          <w:szCs w:val="28"/>
          <w:shd w:val="clear" w:color="auto" w:fill="FFFFFF"/>
        </w:rPr>
        <w:t xml:space="preserve"> </w:t>
      </w:r>
      <w:proofErr w:type="spellStart"/>
      <w:r w:rsidRPr="00FE4953">
        <w:rPr>
          <w:rFonts w:ascii="Times New Roman" w:hAnsi="Times New Roman" w:cs="Times New Roman"/>
          <w:sz w:val="28"/>
          <w:szCs w:val="28"/>
          <w:shd w:val="clear" w:color="auto" w:fill="FFFFFF"/>
        </w:rPr>
        <w:t>Mahal</w:t>
      </w:r>
      <w:proofErr w:type="spellEnd"/>
      <w:r w:rsidRPr="00FE4953">
        <w:rPr>
          <w:rFonts w:ascii="Times New Roman" w:hAnsi="Times New Roman" w:cs="Times New Roman"/>
          <w:sz w:val="28"/>
          <w:szCs w:val="28"/>
          <w:shd w:val="clear" w:color="auto" w:fill="FFFFFF"/>
        </w:rPr>
        <w:t xml:space="preserve"> (supra). Justice and morality as contemplated in Associate </w:t>
      </w:r>
      <w:r w:rsidRPr="00FE4953">
        <w:rPr>
          <w:rFonts w:ascii="Times New Roman" w:hAnsi="Times New Roman" w:cs="Times New Roman"/>
          <w:sz w:val="28"/>
          <w:szCs w:val="28"/>
          <w:shd w:val="clear" w:color="auto" w:fill="FFFFFF"/>
        </w:rPr>
        <w:lastRenderedPageBreak/>
        <w:t>Builders (supra) and if the award is affected by fraud or corruption or violation of section 75</w:t>
      </w:r>
      <w:r>
        <w:rPr>
          <w:rFonts w:ascii="Times New Roman" w:hAnsi="Times New Roman" w:cs="Times New Roman"/>
          <w:sz w:val="28"/>
          <w:szCs w:val="28"/>
          <w:shd w:val="clear" w:color="auto" w:fill="FFFFFF"/>
        </w:rPr>
        <w:t xml:space="preserve"> </w:t>
      </w:r>
      <w:r w:rsidRPr="00FE4953">
        <w:rPr>
          <w:rFonts w:ascii="Times New Roman" w:hAnsi="Times New Roman" w:cs="Times New Roman"/>
          <w:sz w:val="28"/>
          <w:szCs w:val="28"/>
          <w:shd w:val="clear" w:color="auto" w:fill="FFFFFF"/>
        </w:rPr>
        <w:t xml:space="preserve">and 85of the law as laid down in </w:t>
      </w:r>
      <w:proofErr w:type="spellStart"/>
      <w:r w:rsidRPr="00FE4953">
        <w:rPr>
          <w:rFonts w:ascii="Times New Roman" w:hAnsi="Times New Roman" w:cs="Times New Roman"/>
          <w:sz w:val="28"/>
          <w:szCs w:val="28"/>
          <w:shd w:val="clear" w:color="auto" w:fill="FFFFFF"/>
        </w:rPr>
        <w:t>Renusagar</w:t>
      </w:r>
      <w:proofErr w:type="spellEnd"/>
      <w:r w:rsidRPr="00FE4953">
        <w:rPr>
          <w:rFonts w:ascii="Times New Roman" w:hAnsi="Times New Roman" w:cs="Times New Roman"/>
          <w:sz w:val="28"/>
          <w:szCs w:val="28"/>
          <w:shd w:val="clear" w:color="auto" w:fill="FFFFFF"/>
        </w:rPr>
        <w:t xml:space="preserve"> and Shri </w:t>
      </w:r>
      <w:proofErr w:type="spellStart"/>
      <w:r w:rsidRPr="00FE4953">
        <w:rPr>
          <w:rFonts w:ascii="Times New Roman" w:hAnsi="Times New Roman" w:cs="Times New Roman"/>
          <w:sz w:val="28"/>
          <w:szCs w:val="28"/>
          <w:shd w:val="clear" w:color="auto" w:fill="FFFFFF"/>
        </w:rPr>
        <w:t>Lal</w:t>
      </w:r>
      <w:proofErr w:type="spellEnd"/>
      <w:r w:rsidRPr="00FE4953">
        <w:rPr>
          <w:rFonts w:ascii="Times New Roman" w:hAnsi="Times New Roman" w:cs="Times New Roman"/>
          <w:sz w:val="28"/>
          <w:szCs w:val="28"/>
          <w:shd w:val="clear" w:color="auto" w:fill="FFFFFF"/>
        </w:rPr>
        <w:t xml:space="preserve"> </w:t>
      </w:r>
      <w:proofErr w:type="spellStart"/>
      <w:r w:rsidRPr="00FE4953">
        <w:rPr>
          <w:rFonts w:ascii="Times New Roman" w:hAnsi="Times New Roman" w:cs="Times New Roman"/>
          <w:sz w:val="28"/>
          <w:szCs w:val="28"/>
          <w:shd w:val="clear" w:color="auto" w:fill="FFFFFF"/>
        </w:rPr>
        <w:t>Mahal</w:t>
      </w:r>
      <w:proofErr w:type="spellEnd"/>
      <w:r w:rsidRPr="00FE4953">
        <w:rPr>
          <w:rFonts w:ascii="Times New Roman" w:hAnsi="Times New Roman" w:cs="Times New Roman"/>
          <w:sz w:val="28"/>
          <w:szCs w:val="28"/>
          <w:shd w:val="clear" w:color="auto" w:fill="FFFFFF"/>
        </w:rPr>
        <w:t xml:space="preserve"> apply and the scope for resisting enforcement is extremely limited. That the 2015 amendment act has brought section 48 in line with Shri </w:t>
      </w:r>
      <w:proofErr w:type="spellStart"/>
      <w:r w:rsidRPr="00FE4953">
        <w:rPr>
          <w:rFonts w:ascii="Times New Roman" w:hAnsi="Times New Roman" w:cs="Times New Roman"/>
          <w:sz w:val="28"/>
          <w:szCs w:val="28"/>
          <w:shd w:val="clear" w:color="auto" w:fill="FFFFFF"/>
        </w:rPr>
        <w:t>Lal</w:t>
      </w:r>
      <w:proofErr w:type="spellEnd"/>
      <w:r w:rsidRPr="00FE4953">
        <w:rPr>
          <w:rFonts w:ascii="Times New Roman" w:hAnsi="Times New Roman" w:cs="Times New Roman"/>
          <w:sz w:val="28"/>
          <w:szCs w:val="28"/>
          <w:shd w:val="clear" w:color="auto" w:fill="FFFFFF"/>
        </w:rPr>
        <w:t xml:space="preserve"> </w:t>
      </w:r>
      <w:proofErr w:type="spellStart"/>
      <w:r w:rsidRPr="00FE4953">
        <w:rPr>
          <w:rFonts w:ascii="Times New Roman" w:hAnsi="Times New Roman" w:cs="Times New Roman"/>
          <w:sz w:val="28"/>
          <w:szCs w:val="28"/>
          <w:shd w:val="clear" w:color="auto" w:fill="FFFFFF"/>
        </w:rPr>
        <w:t>Mahal</w:t>
      </w:r>
      <w:proofErr w:type="spellEnd"/>
      <w:r w:rsidRPr="00FE4953">
        <w:rPr>
          <w:rFonts w:ascii="Times New Roman" w:hAnsi="Times New Roman" w:cs="Times New Roman"/>
          <w:sz w:val="28"/>
          <w:szCs w:val="28"/>
          <w:shd w:val="clear" w:color="auto" w:fill="FFFFFF"/>
        </w:rPr>
        <w:t xml:space="preserve"> and this was as a result of the 246th Law Commission Report.</w:t>
      </w:r>
    </w:p>
    <w:p w14:paraId="2E32DB55" w14:textId="038E5E88" w:rsidR="00FE4953" w:rsidRPr="00FE4953" w:rsidRDefault="00FE4953" w:rsidP="00FE4953">
      <w:pPr>
        <w:spacing w:line="360" w:lineRule="auto"/>
        <w:jc w:val="both"/>
        <w:rPr>
          <w:rFonts w:ascii="Times New Roman" w:hAnsi="Times New Roman" w:cs="Times New Roman"/>
          <w:sz w:val="28"/>
          <w:szCs w:val="28"/>
          <w:shd w:val="clear" w:color="auto" w:fill="FFFFFF"/>
        </w:rPr>
      </w:pPr>
      <w:r w:rsidRPr="00FE4953">
        <w:rPr>
          <w:rFonts w:ascii="Times New Roman" w:hAnsi="Times New Roman" w:cs="Times New Roman"/>
          <w:sz w:val="28"/>
          <w:szCs w:val="28"/>
          <w:shd w:val="clear" w:color="auto" w:fill="FFFFFF"/>
        </w:rPr>
        <w:t xml:space="preserve">The Supreme Court reaffirmed in HRD Corporation in the matter of Board of Control for Cricket in India vs. Kochi Cricket </w:t>
      </w:r>
      <w:proofErr w:type="spellStart"/>
      <w:r w:rsidRPr="00FE4953">
        <w:rPr>
          <w:rFonts w:ascii="Times New Roman" w:hAnsi="Times New Roman" w:cs="Times New Roman"/>
          <w:sz w:val="28"/>
          <w:szCs w:val="28"/>
          <w:shd w:val="clear" w:color="auto" w:fill="FFFFFF"/>
        </w:rPr>
        <w:t>Pvt.</w:t>
      </w:r>
      <w:proofErr w:type="spellEnd"/>
      <w:r w:rsidRPr="00FE4953">
        <w:rPr>
          <w:rFonts w:ascii="Times New Roman" w:hAnsi="Times New Roman" w:cs="Times New Roman"/>
          <w:sz w:val="28"/>
          <w:szCs w:val="28"/>
          <w:shd w:val="clear" w:color="auto" w:fill="FFFFFF"/>
        </w:rPr>
        <w:t xml:space="preserve"> Ltd </w:t>
      </w:r>
      <w:r w:rsidRPr="00FE4953">
        <w:rPr>
          <w:rStyle w:val="FootnoteReference"/>
          <w:rFonts w:ascii="Times New Roman" w:hAnsi="Times New Roman" w:cs="Times New Roman"/>
          <w:sz w:val="28"/>
          <w:szCs w:val="28"/>
          <w:shd w:val="clear" w:color="auto" w:fill="FFFFFF"/>
        </w:rPr>
        <w:footnoteReference w:id="12"/>
      </w:r>
      <w:r w:rsidRPr="00FE4953">
        <w:rPr>
          <w:rFonts w:ascii="Times New Roman" w:hAnsi="Times New Roman" w:cs="Times New Roman"/>
          <w:sz w:val="28"/>
          <w:szCs w:val="28"/>
          <w:shd w:val="clear" w:color="auto" w:fill="FFFFFF"/>
        </w:rPr>
        <w:t xml:space="preserve"> observing that it was in consonance with the objects of the Act to avoid increased interference by Courts. A contrary view would mean that 2015 amendment is not to be given effect to. Integrated Sales Services (supra) also follows Shri </w:t>
      </w:r>
      <w:proofErr w:type="spellStart"/>
      <w:r w:rsidRPr="00FE4953">
        <w:rPr>
          <w:rFonts w:ascii="Times New Roman" w:hAnsi="Times New Roman" w:cs="Times New Roman"/>
          <w:sz w:val="28"/>
          <w:szCs w:val="28"/>
          <w:shd w:val="clear" w:color="auto" w:fill="FFFFFF"/>
        </w:rPr>
        <w:t>Lal</w:t>
      </w:r>
      <w:proofErr w:type="spellEnd"/>
      <w:r w:rsidRPr="00FE4953">
        <w:rPr>
          <w:rFonts w:ascii="Times New Roman" w:hAnsi="Times New Roman" w:cs="Times New Roman"/>
          <w:sz w:val="28"/>
          <w:szCs w:val="28"/>
          <w:shd w:val="clear" w:color="auto" w:fill="FFFFFF"/>
        </w:rPr>
        <w:t xml:space="preserve"> </w:t>
      </w:r>
      <w:proofErr w:type="spellStart"/>
      <w:r w:rsidRPr="00FE4953">
        <w:rPr>
          <w:rFonts w:ascii="Times New Roman" w:hAnsi="Times New Roman" w:cs="Times New Roman"/>
          <w:sz w:val="28"/>
          <w:szCs w:val="28"/>
          <w:shd w:val="clear" w:color="auto" w:fill="FFFFFF"/>
        </w:rPr>
        <w:t>Mahal</w:t>
      </w:r>
      <w:proofErr w:type="spellEnd"/>
      <w:r w:rsidRPr="00FE4953">
        <w:rPr>
          <w:rFonts w:ascii="Times New Roman" w:hAnsi="Times New Roman" w:cs="Times New Roman"/>
          <w:sz w:val="28"/>
          <w:szCs w:val="28"/>
          <w:shd w:val="clear" w:color="auto" w:fill="FFFFFF"/>
        </w:rPr>
        <w:t xml:space="preserve"> (supra). </w:t>
      </w:r>
    </w:p>
    <w:p w14:paraId="701510BC" w14:textId="77777777" w:rsidR="00FE4953" w:rsidRPr="00FE4953" w:rsidRDefault="00FE4953" w:rsidP="00FE4953">
      <w:pPr>
        <w:spacing w:line="360" w:lineRule="auto"/>
        <w:jc w:val="both"/>
        <w:rPr>
          <w:rFonts w:ascii="Times New Roman" w:hAnsi="Times New Roman" w:cs="Times New Roman"/>
          <w:sz w:val="28"/>
          <w:szCs w:val="28"/>
          <w:shd w:val="clear" w:color="auto" w:fill="FFFFFF"/>
        </w:rPr>
      </w:pPr>
      <w:proofErr w:type="spellStart"/>
      <w:r w:rsidRPr="00FE4953">
        <w:rPr>
          <w:rFonts w:ascii="Times New Roman" w:hAnsi="Times New Roman" w:cs="Times New Roman"/>
          <w:sz w:val="28"/>
          <w:szCs w:val="28"/>
          <w:shd w:val="clear" w:color="auto" w:fill="FFFFFF"/>
        </w:rPr>
        <w:t>Renusagar</w:t>
      </w:r>
      <w:proofErr w:type="spellEnd"/>
      <w:r w:rsidRPr="00FE4953">
        <w:rPr>
          <w:rFonts w:ascii="Times New Roman" w:hAnsi="Times New Roman" w:cs="Times New Roman"/>
          <w:sz w:val="28"/>
          <w:szCs w:val="28"/>
          <w:shd w:val="clear" w:color="auto" w:fill="FFFFFF"/>
        </w:rPr>
        <w:t xml:space="preserve"> (supra) lays down the following tests; (a) A Foreign award cannot be resisted on the basis of a challenge on merit. New York Convention tilts towards pre enforcement grounds. (b) Article V of the New York Convention does not include mistake of fact or law by the arbitrator is ground for refusing enforcement. (c) The New York Convention does not permit a review on merits. The award cannot be impeached on merits. (d) Objections to enforcement are limited in its scope and lastly (e) Contravention to some local law will not attract the public policy concept. In other words something more than violation of the Indian law is required.</w:t>
      </w:r>
    </w:p>
    <w:p w14:paraId="732FF9B9" w14:textId="4BD622D0" w:rsidR="00FE4953" w:rsidRPr="00FE4953" w:rsidRDefault="00FE4953" w:rsidP="00FE4953">
      <w:pPr>
        <w:spacing w:line="360" w:lineRule="auto"/>
        <w:jc w:val="both"/>
        <w:rPr>
          <w:rFonts w:ascii="Times New Roman" w:hAnsi="Times New Roman" w:cs="Times New Roman"/>
          <w:sz w:val="28"/>
          <w:szCs w:val="28"/>
          <w:shd w:val="clear" w:color="auto" w:fill="FFFFFF"/>
        </w:rPr>
      </w:pPr>
      <w:r w:rsidRPr="00FE4953">
        <w:rPr>
          <w:rFonts w:ascii="Times New Roman" w:hAnsi="Times New Roman" w:cs="Times New Roman"/>
          <w:sz w:val="28"/>
          <w:szCs w:val="28"/>
          <w:shd w:val="clear" w:color="auto" w:fill="FFFFFF"/>
        </w:rPr>
        <w:t xml:space="preserve">The principles in </w:t>
      </w:r>
      <w:proofErr w:type="spellStart"/>
      <w:r w:rsidRPr="00FE4953">
        <w:rPr>
          <w:rFonts w:ascii="Times New Roman" w:hAnsi="Times New Roman" w:cs="Times New Roman"/>
          <w:sz w:val="28"/>
          <w:szCs w:val="28"/>
          <w:shd w:val="clear" w:color="auto" w:fill="FFFFFF"/>
        </w:rPr>
        <w:t>Renusagar</w:t>
      </w:r>
      <w:proofErr w:type="spellEnd"/>
      <w:r w:rsidRPr="00FE4953">
        <w:rPr>
          <w:rFonts w:ascii="Times New Roman" w:hAnsi="Times New Roman" w:cs="Times New Roman"/>
          <w:sz w:val="28"/>
          <w:szCs w:val="28"/>
          <w:shd w:val="clear" w:color="auto" w:fill="FFFFFF"/>
        </w:rPr>
        <w:t xml:space="preserve"> (supra) have been followed in Shri </w:t>
      </w:r>
      <w:proofErr w:type="spellStart"/>
      <w:r w:rsidRPr="00FE4953">
        <w:rPr>
          <w:rFonts w:ascii="Times New Roman" w:hAnsi="Times New Roman" w:cs="Times New Roman"/>
          <w:sz w:val="28"/>
          <w:szCs w:val="28"/>
          <w:shd w:val="clear" w:color="auto" w:fill="FFFFFF"/>
        </w:rPr>
        <w:t>Lal</w:t>
      </w:r>
      <w:proofErr w:type="spellEnd"/>
      <w:r w:rsidRPr="00FE4953">
        <w:rPr>
          <w:rFonts w:ascii="Times New Roman" w:hAnsi="Times New Roman" w:cs="Times New Roman"/>
          <w:sz w:val="28"/>
          <w:szCs w:val="28"/>
          <w:shd w:val="clear" w:color="auto" w:fill="FFFFFF"/>
        </w:rPr>
        <w:t xml:space="preserve"> </w:t>
      </w:r>
      <w:proofErr w:type="spellStart"/>
      <w:r w:rsidRPr="00FE4953">
        <w:rPr>
          <w:rFonts w:ascii="Times New Roman" w:hAnsi="Times New Roman" w:cs="Times New Roman"/>
          <w:sz w:val="28"/>
          <w:szCs w:val="28"/>
          <w:shd w:val="clear" w:color="auto" w:fill="FFFFFF"/>
        </w:rPr>
        <w:t>Mahal</w:t>
      </w:r>
      <w:proofErr w:type="spellEnd"/>
      <w:r w:rsidRPr="00FE4953">
        <w:rPr>
          <w:rFonts w:ascii="Times New Roman" w:hAnsi="Times New Roman" w:cs="Times New Roman"/>
          <w:sz w:val="28"/>
          <w:szCs w:val="28"/>
          <w:shd w:val="clear" w:color="auto" w:fill="FFFFFF"/>
        </w:rPr>
        <w:t xml:space="preserve"> (supra) and applied to enforcement of foreign Awards. There is a very limited scope to resist enforcement. </w:t>
      </w:r>
      <w:proofErr w:type="gramStart"/>
      <w:r w:rsidRPr="00FE4953">
        <w:rPr>
          <w:rFonts w:ascii="Times New Roman" w:hAnsi="Times New Roman" w:cs="Times New Roman"/>
          <w:sz w:val="28"/>
          <w:szCs w:val="28"/>
          <w:shd w:val="clear" w:color="auto" w:fill="FFFFFF"/>
        </w:rPr>
        <w:t xml:space="preserve">That Shri </w:t>
      </w:r>
      <w:proofErr w:type="spellStart"/>
      <w:r w:rsidRPr="00FE4953">
        <w:rPr>
          <w:rFonts w:ascii="Times New Roman" w:hAnsi="Times New Roman" w:cs="Times New Roman"/>
          <w:sz w:val="28"/>
          <w:szCs w:val="28"/>
          <w:shd w:val="clear" w:color="auto" w:fill="FFFFFF"/>
        </w:rPr>
        <w:t>Lal</w:t>
      </w:r>
      <w:proofErr w:type="spellEnd"/>
      <w:r w:rsidRPr="00FE4953">
        <w:rPr>
          <w:rFonts w:ascii="Times New Roman" w:hAnsi="Times New Roman" w:cs="Times New Roman"/>
          <w:sz w:val="28"/>
          <w:szCs w:val="28"/>
          <w:shd w:val="clear" w:color="auto" w:fill="FFFFFF"/>
        </w:rPr>
        <w:t xml:space="preserve"> </w:t>
      </w:r>
      <w:proofErr w:type="spellStart"/>
      <w:r w:rsidRPr="00FE4953">
        <w:rPr>
          <w:rFonts w:ascii="Times New Roman" w:hAnsi="Times New Roman" w:cs="Times New Roman"/>
          <w:sz w:val="28"/>
          <w:szCs w:val="28"/>
          <w:shd w:val="clear" w:color="auto" w:fill="FFFFFF"/>
        </w:rPr>
        <w:t>Mahal</w:t>
      </w:r>
      <w:proofErr w:type="spellEnd"/>
      <w:r w:rsidRPr="00FE4953">
        <w:rPr>
          <w:rFonts w:ascii="Times New Roman" w:hAnsi="Times New Roman" w:cs="Times New Roman"/>
          <w:sz w:val="28"/>
          <w:szCs w:val="28"/>
          <w:shd w:val="clear" w:color="auto" w:fill="FFFFFF"/>
        </w:rPr>
        <w:t xml:space="preserve"> (supra) examined the effect of the meaning of the expression "merits of the award" to hold that section 48</w:t>
      </w:r>
      <w:r>
        <w:rPr>
          <w:rFonts w:ascii="Times New Roman" w:hAnsi="Times New Roman" w:cs="Times New Roman"/>
          <w:sz w:val="28"/>
          <w:szCs w:val="28"/>
          <w:shd w:val="clear" w:color="auto" w:fill="FFFFFF"/>
        </w:rPr>
        <w:t xml:space="preserve"> </w:t>
      </w:r>
      <w:r w:rsidRPr="00FE4953">
        <w:rPr>
          <w:rFonts w:ascii="Times New Roman" w:hAnsi="Times New Roman" w:cs="Times New Roman"/>
          <w:sz w:val="28"/>
          <w:szCs w:val="28"/>
          <w:shd w:val="clear" w:color="auto" w:fill="FFFFFF"/>
        </w:rPr>
        <w:t>does not facilitate a Second look at the foreign award at the stage on enforcement or its review on merits.</w:t>
      </w:r>
      <w:proofErr w:type="gramEnd"/>
      <w:r w:rsidRPr="00FE4953">
        <w:rPr>
          <w:rFonts w:ascii="Times New Roman" w:hAnsi="Times New Roman" w:cs="Times New Roman"/>
          <w:sz w:val="28"/>
          <w:szCs w:val="28"/>
          <w:shd w:val="clear" w:color="auto" w:fill="FFFFFF"/>
        </w:rPr>
        <w:t xml:space="preserve"> Nor does it permit considering of acceptance or rejection of evidence by the tribunal. In view thereof he submitted that reliance on a report which was not provided for in contract or rejection of a report of a contractual </w:t>
      </w:r>
      <w:r w:rsidRPr="00FE4953">
        <w:rPr>
          <w:rFonts w:ascii="Times New Roman" w:hAnsi="Times New Roman" w:cs="Times New Roman"/>
          <w:sz w:val="28"/>
          <w:szCs w:val="28"/>
          <w:shd w:val="clear" w:color="auto" w:fill="FFFFFF"/>
        </w:rPr>
        <w:lastRenderedPageBreak/>
        <w:t>agency cannot come in the way of enforcement of an award and the Court in any event does not exercise Appellate jurisdiction over foreign award nor it will enquire whether an error has been committed in rendering the award.</w:t>
      </w:r>
    </w:p>
    <w:p w14:paraId="128C311C" w14:textId="23C140B5" w:rsidR="00FE4953" w:rsidRPr="00FE4953" w:rsidRDefault="00FE4953" w:rsidP="00FE4953">
      <w:pPr>
        <w:spacing w:line="360" w:lineRule="auto"/>
        <w:jc w:val="both"/>
        <w:rPr>
          <w:rFonts w:ascii="Times New Roman" w:hAnsi="Times New Roman" w:cs="Times New Roman"/>
          <w:sz w:val="28"/>
          <w:szCs w:val="28"/>
          <w:shd w:val="clear" w:color="auto" w:fill="FFFFFF"/>
        </w:rPr>
      </w:pPr>
      <w:r w:rsidRPr="00FE4953">
        <w:rPr>
          <w:rFonts w:ascii="Times New Roman" w:hAnsi="Times New Roman" w:cs="Times New Roman"/>
          <w:sz w:val="28"/>
          <w:szCs w:val="28"/>
          <w:shd w:val="clear" w:color="auto" w:fill="FFFFFF"/>
        </w:rPr>
        <w:t xml:space="preserve"> In M/s. Louis Dreyfus Commodities Suisse S. A. vs. Sakuma Exports </w:t>
      </w:r>
      <w:proofErr w:type="gramStart"/>
      <w:r w:rsidRPr="00FE4953">
        <w:rPr>
          <w:rFonts w:ascii="Times New Roman" w:hAnsi="Times New Roman" w:cs="Times New Roman"/>
          <w:sz w:val="28"/>
          <w:szCs w:val="28"/>
          <w:shd w:val="clear" w:color="auto" w:fill="FFFFFF"/>
        </w:rPr>
        <w:t>Ltd ,</w:t>
      </w:r>
      <w:proofErr w:type="gramEnd"/>
      <w:r w:rsidRPr="00FE4953">
        <w:rPr>
          <w:rStyle w:val="FootnoteReference"/>
          <w:rFonts w:ascii="Times New Roman" w:hAnsi="Times New Roman" w:cs="Times New Roman"/>
          <w:sz w:val="28"/>
          <w:szCs w:val="28"/>
          <w:shd w:val="clear" w:color="auto" w:fill="FFFFFF"/>
        </w:rPr>
        <w:footnoteReference w:id="13"/>
      </w:r>
      <w:r w:rsidRPr="00FE4953">
        <w:rPr>
          <w:rFonts w:ascii="Times New Roman" w:hAnsi="Times New Roman" w:cs="Times New Roman"/>
          <w:sz w:val="28"/>
          <w:szCs w:val="28"/>
          <w:shd w:val="clear" w:color="auto" w:fill="FFFFFF"/>
        </w:rPr>
        <w:t xml:space="preserve"> the Court held that even in case where the tribunal considered the documents along with written arguments without giving an opportunity to the respondents to deal with it could not be a ground to refuse enforcement. . A submission that the tribunal did not consider an Expert's report was one that touched the merits of the claim and could not be used for resisting a foreign award. The Court enforcing an award cannot review the award on merits even for considering an objection on the ground of violation of fundamental policy and conflict with basic notions of justice.</w:t>
      </w:r>
    </w:p>
    <w:p w14:paraId="2744BF3D" w14:textId="3BFF82B8" w:rsidR="00FE4953" w:rsidRPr="00FE4953" w:rsidRDefault="00FE4953" w:rsidP="00FE4953">
      <w:pPr>
        <w:spacing w:line="360" w:lineRule="auto"/>
        <w:jc w:val="both"/>
        <w:rPr>
          <w:rFonts w:ascii="Times New Roman" w:hAnsi="Times New Roman" w:cs="Times New Roman"/>
          <w:sz w:val="28"/>
          <w:szCs w:val="28"/>
        </w:rPr>
      </w:pPr>
      <w:r w:rsidRPr="00FE4953">
        <w:rPr>
          <w:rFonts w:ascii="Times New Roman" w:hAnsi="Times New Roman" w:cs="Times New Roman"/>
          <w:sz w:val="28"/>
          <w:szCs w:val="28"/>
        </w:rPr>
        <w:t>The Arbitration Act was amended by the Arbitration and Conciliation Amendment Act, 2015 (“Amendment Act”).Based on the recommendations 246</w:t>
      </w:r>
      <w:r w:rsidRPr="00FE4953">
        <w:rPr>
          <w:rFonts w:ascii="Times New Roman" w:hAnsi="Times New Roman" w:cs="Times New Roman"/>
          <w:sz w:val="28"/>
          <w:szCs w:val="28"/>
          <w:vertAlign w:val="superscript"/>
        </w:rPr>
        <w:t>th</w:t>
      </w:r>
      <w:r w:rsidRPr="00FE4953">
        <w:rPr>
          <w:rFonts w:ascii="Times New Roman" w:hAnsi="Times New Roman" w:cs="Times New Roman"/>
          <w:sz w:val="28"/>
          <w:szCs w:val="28"/>
        </w:rPr>
        <w:t xml:space="preserve"> Law Co</w:t>
      </w:r>
      <w:r w:rsidR="00621115">
        <w:rPr>
          <w:rFonts w:ascii="Times New Roman" w:hAnsi="Times New Roman" w:cs="Times New Roman"/>
          <w:sz w:val="28"/>
          <w:szCs w:val="28"/>
        </w:rPr>
        <w:t xml:space="preserve">mmission Report. The </w:t>
      </w:r>
      <w:r w:rsidRPr="00FE4953">
        <w:rPr>
          <w:rFonts w:ascii="Times New Roman" w:hAnsi="Times New Roman" w:cs="Times New Roman"/>
          <w:sz w:val="28"/>
          <w:szCs w:val="28"/>
        </w:rPr>
        <w:t>Section 48(2</w:t>
      </w:r>
      <w:proofErr w:type="gramStart"/>
      <w:r w:rsidRPr="00FE4953">
        <w:rPr>
          <w:rFonts w:ascii="Times New Roman" w:hAnsi="Times New Roman" w:cs="Times New Roman"/>
          <w:sz w:val="28"/>
          <w:szCs w:val="28"/>
        </w:rPr>
        <w:t>)(</w:t>
      </w:r>
      <w:proofErr w:type="gramEnd"/>
      <w:r w:rsidRPr="00FE4953">
        <w:rPr>
          <w:rFonts w:ascii="Times New Roman" w:hAnsi="Times New Roman" w:cs="Times New Roman"/>
          <w:sz w:val="28"/>
          <w:szCs w:val="28"/>
        </w:rPr>
        <w:t xml:space="preserve">b) of the Arbitration Act was amended and the scope of the public policy defence was further narrowed by crystalizing the meaning of “public policy of India”. Further, “interest of India” as one of the grounds under public policy was removed for being vague and susceptible to interpretational misuse, more so when it came to objections to the enforcement of a foreign award. The amendment also inserted an explanation which clarified that the test as to whether there is a contravention with the fundamental policy of Indian law shall not entail a review on the merits of the dispute. The amendments therefore, gave statutory recognition to the judgment of the Supreme Court in Shri </w:t>
      </w:r>
      <w:proofErr w:type="spellStart"/>
      <w:r w:rsidRPr="00FE4953">
        <w:rPr>
          <w:rFonts w:ascii="Times New Roman" w:hAnsi="Times New Roman" w:cs="Times New Roman"/>
          <w:sz w:val="28"/>
          <w:szCs w:val="28"/>
        </w:rPr>
        <w:t>Lal</w:t>
      </w:r>
      <w:proofErr w:type="spellEnd"/>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Mahal</w:t>
      </w:r>
      <w:proofErr w:type="spellEnd"/>
      <w:r w:rsidRPr="00FE4953">
        <w:rPr>
          <w:rFonts w:ascii="Times New Roman" w:hAnsi="Times New Roman" w:cs="Times New Roman"/>
          <w:sz w:val="28"/>
          <w:szCs w:val="28"/>
        </w:rPr>
        <w:t xml:space="preserve">. Position after the Amendment Act .After the amendment, various courts, while taking forward the legislative intent of the Arbitration Act and the amendments made thereafter, have limited the interference in the enforcement of foreign awards. The Delhi High Court in </w:t>
      </w:r>
      <w:r w:rsidRPr="00FE4953">
        <w:rPr>
          <w:rFonts w:ascii="Times New Roman" w:hAnsi="Times New Roman" w:cs="Times New Roman"/>
          <w:sz w:val="28"/>
          <w:szCs w:val="28"/>
        </w:rPr>
        <w:lastRenderedPageBreak/>
        <w:t xml:space="preserve">Cruz City 1 Mauritius Holdings vs. </w:t>
      </w:r>
      <w:proofErr w:type="spellStart"/>
      <w:r w:rsidRPr="00FE4953">
        <w:rPr>
          <w:rFonts w:ascii="Times New Roman" w:hAnsi="Times New Roman" w:cs="Times New Roman"/>
          <w:sz w:val="28"/>
          <w:szCs w:val="28"/>
        </w:rPr>
        <w:t>Unitech</w:t>
      </w:r>
      <w:proofErr w:type="spellEnd"/>
      <w:r w:rsidRPr="00FE4953">
        <w:rPr>
          <w:rFonts w:ascii="Times New Roman" w:hAnsi="Times New Roman" w:cs="Times New Roman"/>
          <w:sz w:val="28"/>
          <w:szCs w:val="28"/>
        </w:rPr>
        <w:t xml:space="preserve"> Limited, (“Cruz City”)</w:t>
      </w:r>
      <w:r w:rsidRPr="00FE4953">
        <w:rPr>
          <w:rStyle w:val="FootnoteReference"/>
          <w:rFonts w:ascii="Times New Roman" w:hAnsi="Times New Roman" w:cs="Times New Roman"/>
          <w:sz w:val="28"/>
          <w:szCs w:val="28"/>
        </w:rPr>
        <w:footnoteReference w:id="14"/>
      </w:r>
      <w:r w:rsidRPr="00FE4953">
        <w:rPr>
          <w:rFonts w:ascii="Times New Roman" w:hAnsi="Times New Roman" w:cs="Times New Roman"/>
          <w:sz w:val="28"/>
          <w:szCs w:val="28"/>
        </w:rPr>
        <w:t xml:space="preserve"> read fundamental policy of Indian law to connote the “basic and </w:t>
      </w:r>
      <w:proofErr w:type="spellStart"/>
      <w:r w:rsidRPr="00FE4953">
        <w:rPr>
          <w:rFonts w:ascii="Times New Roman" w:hAnsi="Times New Roman" w:cs="Times New Roman"/>
          <w:sz w:val="28"/>
          <w:szCs w:val="28"/>
        </w:rPr>
        <w:t>substratal</w:t>
      </w:r>
      <w:proofErr w:type="spellEnd"/>
      <w:r w:rsidRPr="00FE4953">
        <w:rPr>
          <w:rFonts w:ascii="Times New Roman" w:hAnsi="Times New Roman" w:cs="Times New Roman"/>
          <w:sz w:val="28"/>
          <w:szCs w:val="28"/>
        </w:rPr>
        <w:t xml:space="preserve"> rational values and principles which form the bedrock of laws in India”. Importantly, Cruz City held that regard must be given to the fact that a foreign award may be based on foreign law, which maybe “at variance” with the corresponding Indian statute. To then interpret “fundamental policy of Indian law” as a reference to a provision of an Indian statue, would frustrate one of the principal objects of the NYC. The position thus is that in order to successfully resist enforcement of a foreign award on the ground of public policy, the objections must be such that offend the core values of a member State's national policy and which it cannot be expected to compromise.  Therefore, the expression fundamental policy of Indian law must be interpreted in the above perspective and must mean only the fundamental and </w:t>
      </w:r>
      <w:proofErr w:type="spellStart"/>
      <w:r w:rsidRPr="00FE4953">
        <w:rPr>
          <w:rFonts w:ascii="Times New Roman" w:hAnsi="Times New Roman" w:cs="Times New Roman"/>
          <w:sz w:val="28"/>
          <w:szCs w:val="28"/>
        </w:rPr>
        <w:t>substract</w:t>
      </w:r>
      <w:proofErr w:type="spellEnd"/>
      <w:r w:rsidRPr="00FE4953">
        <w:rPr>
          <w:rFonts w:ascii="Times New Roman" w:hAnsi="Times New Roman" w:cs="Times New Roman"/>
          <w:sz w:val="28"/>
          <w:szCs w:val="28"/>
        </w:rPr>
        <w:t xml:space="preserve"> legislative policy and not a provision of any enactment.  </w:t>
      </w:r>
    </w:p>
    <w:p w14:paraId="42187CF6" w14:textId="7F2BD545" w:rsidR="00E56097" w:rsidRDefault="00FE4953" w:rsidP="00FE4953">
      <w:pPr>
        <w:spacing w:line="360" w:lineRule="auto"/>
        <w:jc w:val="both"/>
        <w:rPr>
          <w:rFonts w:ascii="Times New Roman" w:hAnsi="Times New Roman" w:cs="Times New Roman"/>
          <w:b/>
          <w:sz w:val="28"/>
          <w:szCs w:val="28"/>
          <w:u w:val="single"/>
          <w:shd w:val="clear" w:color="auto" w:fill="FFFFFF"/>
        </w:rPr>
      </w:pPr>
      <w:r w:rsidRPr="00FE4953">
        <w:rPr>
          <w:rFonts w:ascii="Times New Roman" w:hAnsi="Times New Roman" w:cs="Times New Roman"/>
          <w:sz w:val="28"/>
          <w:szCs w:val="28"/>
        </w:rPr>
        <w:t xml:space="preserve">The ordinance (dated 23 October 2015) was promulgated into the Amendment Act which received the President’s assent on 31 December 2015 and is dated 1 January 2016. Several other decisions have been passed by </w:t>
      </w:r>
      <w:proofErr w:type="gramStart"/>
      <w:r w:rsidRPr="00FE4953">
        <w:rPr>
          <w:rFonts w:ascii="Times New Roman" w:hAnsi="Times New Roman" w:cs="Times New Roman"/>
          <w:sz w:val="28"/>
          <w:szCs w:val="28"/>
        </w:rPr>
        <w:t xml:space="preserve">various High </w:t>
      </w:r>
      <w:proofErr w:type="spellStart"/>
      <w:r w:rsidRPr="00FE4953">
        <w:rPr>
          <w:rFonts w:ascii="Times New Roman" w:hAnsi="Times New Roman" w:cs="Times New Roman"/>
          <w:sz w:val="28"/>
          <w:szCs w:val="28"/>
        </w:rPr>
        <w:t>Courts</w:t>
      </w:r>
      <w:proofErr w:type="spellEnd"/>
      <w:r w:rsidRPr="00FE4953">
        <w:rPr>
          <w:rFonts w:ascii="Times New Roman" w:hAnsi="Times New Roman" w:cs="Times New Roman"/>
          <w:sz w:val="28"/>
          <w:szCs w:val="28"/>
        </w:rPr>
        <w:t xml:space="preserve"> 6</w:t>
      </w:r>
      <w:proofErr w:type="gramEnd"/>
      <w:r w:rsidRPr="00FE4953">
        <w:rPr>
          <w:rFonts w:ascii="Times New Roman" w:hAnsi="Times New Roman" w:cs="Times New Roman"/>
          <w:sz w:val="28"/>
          <w:szCs w:val="28"/>
        </w:rPr>
        <w:t xml:space="preserve"> and the Supreme Court7 after the Amendment Act. All of these decisions have applied a narrow test under Section 48 while dealing with the enforcement of foreign awards. The common findings in of all these decisions are that a court is precluded from examining a foreign award on merits and that a court, under Section 48, does not sit as an appellate court. These decisions take forward the legislative intent of the Arbitration Act and in particular, the amendments made by the Amendment Act.</w:t>
      </w:r>
    </w:p>
    <w:p w14:paraId="48B8DCD7" w14:textId="7F67F06D" w:rsidR="00FE4953" w:rsidRPr="00FE4953" w:rsidRDefault="00FE4953" w:rsidP="00FE4953">
      <w:pPr>
        <w:spacing w:line="360" w:lineRule="auto"/>
        <w:jc w:val="both"/>
        <w:rPr>
          <w:rFonts w:ascii="Times New Roman" w:hAnsi="Times New Roman" w:cs="Times New Roman"/>
          <w:sz w:val="28"/>
          <w:szCs w:val="28"/>
          <w:u w:val="single"/>
          <w:shd w:val="clear" w:color="auto" w:fill="FFFFFF"/>
        </w:rPr>
      </w:pPr>
      <w:r w:rsidRPr="00FE4953">
        <w:rPr>
          <w:rFonts w:ascii="Times New Roman" w:hAnsi="Times New Roman" w:cs="Times New Roman"/>
          <w:b/>
          <w:sz w:val="28"/>
          <w:szCs w:val="28"/>
          <w:u w:val="single"/>
          <w:shd w:val="clear" w:color="auto" w:fill="FFFFFF"/>
        </w:rPr>
        <w:t xml:space="preserve">The Public Policy and Foreign </w:t>
      </w:r>
      <w:proofErr w:type="gramStart"/>
      <w:r w:rsidRPr="00FE4953">
        <w:rPr>
          <w:rFonts w:ascii="Times New Roman" w:hAnsi="Times New Roman" w:cs="Times New Roman"/>
          <w:b/>
          <w:sz w:val="28"/>
          <w:szCs w:val="28"/>
          <w:u w:val="single"/>
          <w:shd w:val="clear" w:color="auto" w:fill="FFFFFF"/>
        </w:rPr>
        <w:t>Award  :</w:t>
      </w:r>
      <w:proofErr w:type="gramEnd"/>
      <w:r w:rsidRPr="00FE4953">
        <w:rPr>
          <w:rFonts w:ascii="Times New Roman" w:hAnsi="Times New Roman" w:cs="Times New Roman"/>
          <w:b/>
          <w:sz w:val="28"/>
          <w:szCs w:val="28"/>
          <w:u w:val="single"/>
          <w:shd w:val="clear" w:color="auto" w:fill="FFFFFF"/>
        </w:rPr>
        <w:t>-The Section 34 and 48 of the Act</w:t>
      </w:r>
    </w:p>
    <w:p w14:paraId="76FD0AE7" w14:textId="7E19DAD3" w:rsidR="00FE4953" w:rsidRPr="00FE4953" w:rsidRDefault="00FE4953" w:rsidP="00FE4953">
      <w:pPr>
        <w:spacing w:line="360" w:lineRule="auto"/>
        <w:jc w:val="both"/>
        <w:rPr>
          <w:rFonts w:ascii="Times New Roman" w:hAnsi="Times New Roman" w:cs="Times New Roman"/>
          <w:sz w:val="28"/>
          <w:szCs w:val="28"/>
        </w:rPr>
      </w:pPr>
      <w:r w:rsidRPr="00FE4953">
        <w:rPr>
          <w:rFonts w:ascii="Times New Roman" w:hAnsi="Times New Roman" w:cs="Times New Roman"/>
          <w:sz w:val="28"/>
          <w:szCs w:val="28"/>
          <w:shd w:val="clear" w:color="auto" w:fill="FFFFFF"/>
        </w:rPr>
        <w:t>The grounds for challenge under </w:t>
      </w:r>
      <w:r w:rsidRPr="00586EB6">
        <w:rPr>
          <w:rFonts w:ascii="Times New Roman" w:hAnsi="Times New Roman" w:cs="Times New Roman"/>
          <w:sz w:val="28"/>
          <w:szCs w:val="28"/>
          <w:shd w:val="clear" w:color="auto" w:fill="FFFFFF"/>
        </w:rPr>
        <w:t>Section 34</w:t>
      </w:r>
      <w:r w:rsidRPr="00FE4953">
        <w:rPr>
          <w:rFonts w:ascii="Times New Roman" w:hAnsi="Times New Roman" w:cs="Times New Roman"/>
          <w:sz w:val="28"/>
          <w:szCs w:val="28"/>
          <w:shd w:val="clear" w:color="auto" w:fill="FFFFFF"/>
        </w:rPr>
        <w:t> and for the Court to decline enforcement under </w:t>
      </w:r>
      <w:r w:rsidRPr="00586EB6">
        <w:rPr>
          <w:rFonts w:ascii="Times New Roman" w:hAnsi="Times New Roman" w:cs="Times New Roman"/>
          <w:sz w:val="28"/>
          <w:szCs w:val="28"/>
          <w:shd w:val="clear" w:color="auto" w:fill="FFFFFF"/>
        </w:rPr>
        <w:t>Section 48</w:t>
      </w:r>
      <w:r w:rsidRPr="00FE4953">
        <w:rPr>
          <w:rFonts w:ascii="Times New Roman" w:hAnsi="Times New Roman" w:cs="Times New Roman"/>
          <w:sz w:val="28"/>
          <w:szCs w:val="28"/>
          <w:shd w:val="clear" w:color="auto" w:fill="FFFFFF"/>
        </w:rPr>
        <w:t xml:space="preserve"> are identical and that the expression public policy </w:t>
      </w:r>
      <w:r w:rsidRPr="00FE4953">
        <w:rPr>
          <w:rFonts w:ascii="Times New Roman" w:hAnsi="Times New Roman" w:cs="Times New Roman"/>
          <w:sz w:val="28"/>
          <w:szCs w:val="28"/>
          <w:shd w:val="clear" w:color="auto" w:fill="FFFFFF"/>
        </w:rPr>
        <w:lastRenderedPageBreak/>
        <w:t>of India has now been defined with the intention of restricting the scope of public policy under </w:t>
      </w:r>
      <w:r w:rsidRPr="00586EB6">
        <w:rPr>
          <w:rFonts w:ascii="Times New Roman" w:hAnsi="Times New Roman" w:cs="Times New Roman"/>
          <w:sz w:val="28"/>
          <w:szCs w:val="28"/>
          <w:shd w:val="clear" w:color="auto" w:fill="FFFFFF"/>
        </w:rPr>
        <w:t>Section 34</w:t>
      </w:r>
      <w:r w:rsidRPr="00FE4953">
        <w:rPr>
          <w:rFonts w:ascii="Times New Roman" w:hAnsi="Times New Roman" w:cs="Times New Roman"/>
          <w:sz w:val="28"/>
          <w:szCs w:val="28"/>
          <w:shd w:val="clear" w:color="auto" w:fill="FFFFFF"/>
        </w:rPr>
        <w:t> and </w:t>
      </w:r>
      <w:r w:rsidRPr="00586EB6">
        <w:rPr>
          <w:rFonts w:ascii="Times New Roman" w:hAnsi="Times New Roman" w:cs="Times New Roman"/>
          <w:sz w:val="28"/>
          <w:szCs w:val="28"/>
          <w:shd w:val="clear" w:color="auto" w:fill="FFFFFF"/>
        </w:rPr>
        <w:t>48</w:t>
      </w:r>
      <w:r w:rsidRPr="00FE4953">
        <w:rPr>
          <w:rFonts w:ascii="Times New Roman" w:hAnsi="Times New Roman" w:cs="Times New Roman"/>
          <w:sz w:val="28"/>
          <w:szCs w:val="28"/>
        </w:rPr>
        <w:t>.</w:t>
      </w:r>
    </w:p>
    <w:p w14:paraId="64984836" w14:textId="0EFAF369" w:rsidR="00FE4953" w:rsidRPr="00FE4953" w:rsidRDefault="00FE4953" w:rsidP="00FE4953">
      <w:pPr>
        <w:spacing w:line="360" w:lineRule="auto"/>
        <w:jc w:val="both"/>
        <w:rPr>
          <w:rFonts w:ascii="Times New Roman" w:hAnsi="Times New Roman" w:cs="Times New Roman"/>
          <w:sz w:val="28"/>
          <w:szCs w:val="28"/>
          <w:shd w:val="clear" w:color="auto" w:fill="FFFFFF"/>
        </w:rPr>
      </w:pPr>
      <w:r w:rsidRPr="00FE4953">
        <w:rPr>
          <w:rFonts w:ascii="Times New Roman" w:hAnsi="Times New Roman" w:cs="Times New Roman"/>
          <w:sz w:val="28"/>
          <w:szCs w:val="28"/>
          <w:shd w:val="clear" w:color="auto" w:fill="FFFFFF"/>
        </w:rPr>
        <w:t>The scope for resisting enforcement pursuant to 2015 </w:t>
      </w:r>
      <w:r w:rsidRPr="00586EB6">
        <w:rPr>
          <w:rFonts w:ascii="Times New Roman" w:hAnsi="Times New Roman" w:cs="Times New Roman"/>
          <w:sz w:val="28"/>
          <w:szCs w:val="28"/>
          <w:shd w:val="clear" w:color="auto" w:fill="FFFFFF"/>
        </w:rPr>
        <w:t>Amendment Arbitration Act</w:t>
      </w:r>
      <w:r w:rsidRPr="00FE4953">
        <w:rPr>
          <w:rFonts w:ascii="Times New Roman" w:hAnsi="Times New Roman" w:cs="Times New Roman"/>
          <w:sz w:val="28"/>
          <w:szCs w:val="28"/>
          <w:shd w:val="clear" w:color="auto" w:fill="FFFFFF"/>
        </w:rPr>
        <w:t> are similar to the ground available under </w:t>
      </w:r>
      <w:r w:rsidRPr="00586EB6">
        <w:rPr>
          <w:rFonts w:ascii="Times New Roman" w:hAnsi="Times New Roman" w:cs="Times New Roman"/>
          <w:sz w:val="28"/>
          <w:szCs w:val="28"/>
          <w:shd w:val="clear" w:color="auto" w:fill="FFFFFF"/>
        </w:rPr>
        <w:t>Section 34</w:t>
      </w:r>
      <w:r w:rsidRPr="00FE4953">
        <w:rPr>
          <w:rFonts w:ascii="Times New Roman" w:hAnsi="Times New Roman" w:cs="Times New Roman"/>
          <w:sz w:val="28"/>
          <w:szCs w:val="28"/>
          <w:shd w:val="clear" w:color="auto" w:fill="FFFFFF"/>
        </w:rPr>
        <w:t> for challenging an award, that except for the ground of patent illegality under </w:t>
      </w:r>
      <w:r w:rsidRPr="00586EB6">
        <w:rPr>
          <w:rFonts w:ascii="Times New Roman" w:hAnsi="Times New Roman" w:cs="Times New Roman"/>
          <w:sz w:val="28"/>
          <w:szCs w:val="28"/>
          <w:shd w:val="clear" w:color="auto" w:fill="FFFFFF"/>
        </w:rPr>
        <w:t>Section 34(2)(a)</w:t>
      </w:r>
      <w:r w:rsidRPr="00FE4953">
        <w:rPr>
          <w:rFonts w:ascii="Times New Roman" w:hAnsi="Times New Roman" w:cs="Times New Roman"/>
          <w:sz w:val="28"/>
          <w:szCs w:val="28"/>
          <w:shd w:val="clear" w:color="auto" w:fill="FFFFFF"/>
        </w:rPr>
        <w:t xml:space="preserve"> which is available for challenging awards other than awards passed in international Commercial Arbitrations under Part I. </w:t>
      </w:r>
    </w:p>
    <w:p w14:paraId="4117290B" w14:textId="42D21F7B" w:rsidR="00FE4953" w:rsidRPr="00FE4953" w:rsidRDefault="00FE4953" w:rsidP="00FE4953">
      <w:pPr>
        <w:spacing w:line="360" w:lineRule="auto"/>
        <w:jc w:val="both"/>
        <w:rPr>
          <w:rFonts w:ascii="Times New Roman" w:hAnsi="Times New Roman" w:cs="Times New Roman"/>
          <w:sz w:val="28"/>
          <w:szCs w:val="28"/>
          <w:shd w:val="clear" w:color="auto" w:fill="FFFFFF"/>
        </w:rPr>
      </w:pPr>
      <w:r w:rsidRPr="00FE4953">
        <w:rPr>
          <w:rFonts w:ascii="Times New Roman" w:hAnsi="Times New Roman" w:cs="Times New Roman"/>
          <w:sz w:val="28"/>
          <w:szCs w:val="28"/>
          <w:shd w:val="clear" w:color="auto" w:fill="FFFFFF"/>
        </w:rPr>
        <w:t>The  Challenge to awards under </w:t>
      </w:r>
      <w:r w:rsidRPr="00586EB6">
        <w:rPr>
          <w:rFonts w:ascii="Times New Roman" w:hAnsi="Times New Roman" w:cs="Times New Roman"/>
          <w:sz w:val="28"/>
          <w:szCs w:val="28"/>
          <w:shd w:val="clear" w:color="auto" w:fill="FFFFFF"/>
        </w:rPr>
        <w:t>section 34</w:t>
      </w:r>
      <w:r w:rsidRPr="00FE4953">
        <w:rPr>
          <w:rFonts w:ascii="Times New Roman" w:hAnsi="Times New Roman" w:cs="Times New Roman"/>
          <w:sz w:val="28"/>
          <w:szCs w:val="28"/>
          <w:shd w:val="clear" w:color="auto" w:fill="FFFFFF"/>
        </w:rPr>
        <w:t xml:space="preserve"> on the ground of 'patent illegality' as contemplated in Saw Pipes, Western </w:t>
      </w:r>
      <w:proofErr w:type="spellStart"/>
      <w:r w:rsidRPr="00FE4953">
        <w:rPr>
          <w:rFonts w:ascii="Times New Roman" w:hAnsi="Times New Roman" w:cs="Times New Roman"/>
          <w:sz w:val="28"/>
          <w:szCs w:val="28"/>
          <w:shd w:val="clear" w:color="auto" w:fill="FFFFFF"/>
        </w:rPr>
        <w:t>Geco</w:t>
      </w:r>
      <w:proofErr w:type="spellEnd"/>
      <w:r w:rsidRPr="00FE4953">
        <w:rPr>
          <w:rFonts w:ascii="Times New Roman" w:hAnsi="Times New Roman" w:cs="Times New Roman"/>
          <w:sz w:val="28"/>
          <w:szCs w:val="28"/>
          <w:shd w:val="clear" w:color="auto" w:fill="FFFFFF"/>
        </w:rPr>
        <w:t xml:space="preserve"> and Associated Builders(supra) now stand negated and can only be a ground of challenge under </w:t>
      </w:r>
      <w:r w:rsidRPr="00586EB6">
        <w:rPr>
          <w:rFonts w:ascii="Times New Roman" w:hAnsi="Times New Roman" w:cs="Times New Roman"/>
          <w:sz w:val="28"/>
          <w:szCs w:val="28"/>
          <w:shd w:val="clear" w:color="auto" w:fill="FFFFFF"/>
        </w:rPr>
        <w:t>section 34</w:t>
      </w:r>
      <w:r w:rsidRPr="00FE4953">
        <w:rPr>
          <w:rFonts w:ascii="Times New Roman" w:hAnsi="Times New Roman" w:cs="Times New Roman"/>
          <w:sz w:val="28"/>
          <w:szCs w:val="28"/>
          <w:shd w:val="clear" w:color="auto" w:fill="FFFFFF"/>
        </w:rPr>
        <w:t> for domestic awards and not while considering </w:t>
      </w:r>
      <w:r w:rsidRPr="00586EB6">
        <w:rPr>
          <w:rFonts w:ascii="Times New Roman" w:hAnsi="Times New Roman" w:cs="Times New Roman"/>
          <w:sz w:val="28"/>
          <w:szCs w:val="28"/>
          <w:shd w:val="clear" w:color="auto" w:fill="FFFFFF"/>
        </w:rPr>
        <w:t>section 48</w:t>
      </w:r>
      <w:r w:rsidRPr="00FE4953">
        <w:rPr>
          <w:rFonts w:ascii="Times New Roman" w:hAnsi="Times New Roman" w:cs="Times New Roman"/>
          <w:sz w:val="28"/>
          <w:szCs w:val="28"/>
          <w:shd w:val="clear" w:color="auto" w:fill="FFFFFF"/>
        </w:rPr>
        <w:t> for enforcement. The ground of patent illegality contemplated a domestic award and cannot apply to foreign awards</w:t>
      </w:r>
    </w:p>
    <w:p w14:paraId="5F43F3FE" w14:textId="4BA9524E" w:rsidR="00FE4953" w:rsidRPr="00FE4953" w:rsidRDefault="00FE4953" w:rsidP="00AA53A3">
      <w:pPr>
        <w:spacing w:line="360" w:lineRule="auto"/>
        <w:jc w:val="both"/>
        <w:rPr>
          <w:rFonts w:ascii="Times New Roman" w:hAnsi="Times New Roman" w:cs="Times New Roman"/>
          <w:sz w:val="28"/>
          <w:szCs w:val="28"/>
          <w:shd w:val="clear" w:color="auto" w:fill="FFFFFF"/>
        </w:rPr>
      </w:pPr>
      <w:r w:rsidRPr="00FE4953">
        <w:rPr>
          <w:rFonts w:ascii="Times New Roman" w:hAnsi="Times New Roman" w:cs="Times New Roman"/>
          <w:sz w:val="28"/>
          <w:szCs w:val="28"/>
          <w:shd w:val="clear" w:color="auto" w:fill="FFFFFF"/>
        </w:rPr>
        <w:t>The definitions of public policy and fundamental policy of Indian Law would apply with equal force to objections against enforcement of</w:t>
      </w:r>
      <w:r>
        <w:rPr>
          <w:rFonts w:ascii="Times New Roman" w:hAnsi="Times New Roman" w:cs="Times New Roman"/>
          <w:sz w:val="28"/>
          <w:szCs w:val="28"/>
          <w:shd w:val="clear" w:color="auto" w:fill="FFFFFF"/>
        </w:rPr>
        <w:t xml:space="preserve"> a foreign award. The </w:t>
      </w:r>
      <w:r w:rsidRPr="00FE4953">
        <w:rPr>
          <w:rFonts w:ascii="Times New Roman" w:hAnsi="Times New Roman" w:cs="Times New Roman"/>
          <w:sz w:val="28"/>
          <w:szCs w:val="28"/>
          <w:shd w:val="clear" w:color="auto" w:fill="FFFFFF"/>
        </w:rPr>
        <w:t xml:space="preserve">paragraph 35, 38 and 39 of Western </w:t>
      </w:r>
      <w:proofErr w:type="spellStart"/>
      <w:r w:rsidRPr="00FE4953">
        <w:rPr>
          <w:rFonts w:ascii="Times New Roman" w:hAnsi="Times New Roman" w:cs="Times New Roman"/>
          <w:sz w:val="28"/>
          <w:szCs w:val="28"/>
          <w:shd w:val="clear" w:color="auto" w:fill="FFFFFF"/>
        </w:rPr>
        <w:t>Geco</w:t>
      </w:r>
      <w:proofErr w:type="spellEnd"/>
      <w:r w:rsidRPr="00FE4953">
        <w:rPr>
          <w:rFonts w:ascii="Times New Roman" w:hAnsi="Times New Roman" w:cs="Times New Roman"/>
          <w:sz w:val="28"/>
          <w:szCs w:val="28"/>
          <w:shd w:val="clear" w:color="auto" w:fill="FFFFFF"/>
        </w:rPr>
        <w:t xml:space="preserve"> (supra) the Supreme </w:t>
      </w:r>
      <w:proofErr w:type="gramStart"/>
      <w:r w:rsidRPr="00FE4953">
        <w:rPr>
          <w:rFonts w:ascii="Times New Roman" w:hAnsi="Times New Roman" w:cs="Times New Roman"/>
          <w:sz w:val="28"/>
          <w:szCs w:val="28"/>
          <w:shd w:val="clear" w:color="auto" w:fill="FFFFFF"/>
        </w:rPr>
        <w:t>Court  emphasized</w:t>
      </w:r>
      <w:proofErr w:type="gramEnd"/>
      <w:r w:rsidRPr="00FE4953">
        <w:rPr>
          <w:rFonts w:ascii="Times New Roman" w:hAnsi="Times New Roman" w:cs="Times New Roman"/>
          <w:sz w:val="28"/>
          <w:szCs w:val="28"/>
          <w:shd w:val="clear" w:color="auto" w:fill="FFFFFF"/>
        </w:rPr>
        <w:t xml:space="preserve"> that there must be fidelity of judicial approach and one which cannot be arbitrary, capricious or whimsical manner. A judicial approach ensures that the authorities act </w:t>
      </w:r>
      <w:proofErr w:type="spellStart"/>
      <w:r w:rsidRPr="00FE4953">
        <w:rPr>
          <w:rFonts w:ascii="Times New Roman" w:hAnsi="Times New Roman" w:cs="Times New Roman"/>
          <w:sz w:val="28"/>
          <w:szCs w:val="28"/>
          <w:shd w:val="clear" w:color="auto" w:fill="FFFFFF"/>
        </w:rPr>
        <w:t>bonafide</w:t>
      </w:r>
      <w:proofErr w:type="spellEnd"/>
      <w:r w:rsidRPr="00FE4953">
        <w:rPr>
          <w:rFonts w:ascii="Times New Roman" w:hAnsi="Times New Roman" w:cs="Times New Roman"/>
          <w:sz w:val="28"/>
          <w:szCs w:val="28"/>
          <w:shd w:val="clear" w:color="auto" w:fill="FFFFFF"/>
        </w:rPr>
        <w:t xml:space="preserve"> and deals with the subject in a fair, reasonable and objective manner and that the decision is not actuated by any extraneous considerations.</w:t>
      </w:r>
    </w:p>
    <w:p w14:paraId="4CF44D0F" w14:textId="6429BDFF" w:rsidR="00FE4953" w:rsidRPr="00FE4953" w:rsidRDefault="00FE4953" w:rsidP="00FE4953">
      <w:pPr>
        <w:spacing w:line="360" w:lineRule="auto"/>
        <w:jc w:val="both"/>
        <w:rPr>
          <w:rFonts w:ascii="Times New Roman" w:hAnsi="Times New Roman" w:cs="Times New Roman"/>
          <w:sz w:val="28"/>
          <w:szCs w:val="28"/>
          <w:shd w:val="clear" w:color="auto" w:fill="FFFFFF"/>
        </w:rPr>
      </w:pPr>
      <w:r w:rsidRPr="00FE4953">
        <w:rPr>
          <w:rFonts w:ascii="Times New Roman" w:hAnsi="Times New Roman" w:cs="Times New Roman"/>
          <w:sz w:val="28"/>
          <w:szCs w:val="28"/>
          <w:shd w:val="clear" w:color="auto" w:fill="FFFFFF"/>
        </w:rPr>
        <w:t>Chapter I of Part II which deals with New York Convention Awards does not differentiate between enforcement of awards that have been unsuccessfully challenged at the seat or those which being not except for Section 48(1)(e) and Section 48(3)</w:t>
      </w:r>
      <w:r>
        <w:rPr>
          <w:rFonts w:ascii="Times New Roman" w:hAnsi="Times New Roman" w:cs="Times New Roman"/>
          <w:sz w:val="28"/>
          <w:szCs w:val="28"/>
          <w:shd w:val="clear" w:color="auto" w:fill="FFFFFF"/>
        </w:rPr>
        <w:t>.</w:t>
      </w:r>
    </w:p>
    <w:p w14:paraId="533D26F8" w14:textId="00CE1E70" w:rsidR="00FE4953" w:rsidRPr="00FE4953" w:rsidRDefault="00FE4953" w:rsidP="00FE4953">
      <w:pPr>
        <w:spacing w:line="360" w:lineRule="auto"/>
        <w:jc w:val="both"/>
        <w:rPr>
          <w:rFonts w:ascii="Times New Roman" w:hAnsi="Times New Roman" w:cs="Times New Roman"/>
          <w:b/>
          <w:sz w:val="28"/>
          <w:szCs w:val="28"/>
        </w:rPr>
      </w:pPr>
      <w:r w:rsidRPr="00FE4953">
        <w:rPr>
          <w:rFonts w:ascii="Times New Roman" w:hAnsi="Times New Roman" w:cs="Times New Roman"/>
          <w:sz w:val="28"/>
          <w:szCs w:val="28"/>
          <w:shd w:val="clear" w:color="auto" w:fill="FFFFFF"/>
        </w:rPr>
        <w:t xml:space="preserve">To resist enforcement </w:t>
      </w:r>
      <w:proofErr w:type="spellStart"/>
      <w:r w:rsidRPr="00FE4953">
        <w:rPr>
          <w:rFonts w:ascii="Times New Roman" w:hAnsi="Times New Roman" w:cs="Times New Roman"/>
          <w:sz w:val="28"/>
          <w:szCs w:val="28"/>
          <w:shd w:val="clear" w:color="auto" w:fill="FFFFFF"/>
        </w:rPr>
        <w:t>viz</w:t>
      </w:r>
      <w:proofErr w:type="spellEnd"/>
      <w:r w:rsidRPr="00FE4953">
        <w:rPr>
          <w:rFonts w:ascii="Times New Roman" w:hAnsi="Times New Roman" w:cs="Times New Roman"/>
          <w:sz w:val="28"/>
          <w:szCs w:val="28"/>
          <w:shd w:val="clear" w:color="auto" w:fill="FFFFFF"/>
        </w:rPr>
        <w:t>, the enforcement of the Award being in contravention of the Foreign Exchange Management Act</w:t>
      </w:r>
      <w:r>
        <w:rPr>
          <w:rFonts w:ascii="Times New Roman" w:hAnsi="Times New Roman" w:cs="Times New Roman"/>
          <w:sz w:val="28"/>
          <w:szCs w:val="28"/>
          <w:shd w:val="clear" w:color="auto" w:fill="FFFFFF"/>
        </w:rPr>
        <w:t>.</w:t>
      </w:r>
      <w:r w:rsidR="00621115">
        <w:rPr>
          <w:rFonts w:ascii="Times New Roman" w:hAnsi="Times New Roman" w:cs="Times New Roman"/>
          <w:sz w:val="28"/>
          <w:szCs w:val="28"/>
          <w:shd w:val="clear" w:color="auto" w:fill="FFFFFF"/>
        </w:rPr>
        <w:t xml:space="preserve"> In Penn </w:t>
      </w:r>
      <w:proofErr w:type="gramStart"/>
      <w:r w:rsidR="00621115">
        <w:rPr>
          <w:rFonts w:ascii="Times New Roman" w:hAnsi="Times New Roman" w:cs="Times New Roman"/>
          <w:sz w:val="28"/>
          <w:szCs w:val="28"/>
          <w:shd w:val="clear" w:color="auto" w:fill="FFFFFF"/>
        </w:rPr>
        <w:t xml:space="preserve">Racquet </w:t>
      </w:r>
      <w:r w:rsidRPr="00FE4953">
        <w:rPr>
          <w:rFonts w:ascii="Times New Roman" w:hAnsi="Times New Roman" w:cs="Times New Roman"/>
          <w:sz w:val="28"/>
          <w:szCs w:val="28"/>
          <w:shd w:val="clear" w:color="auto" w:fill="FFFFFF"/>
        </w:rPr>
        <w:t xml:space="preserve"> the</w:t>
      </w:r>
      <w:proofErr w:type="gramEnd"/>
      <w:r w:rsidRPr="00FE4953">
        <w:rPr>
          <w:rFonts w:ascii="Times New Roman" w:hAnsi="Times New Roman" w:cs="Times New Roman"/>
          <w:sz w:val="28"/>
          <w:szCs w:val="28"/>
          <w:shd w:val="clear" w:color="auto" w:fill="FFFFFF"/>
        </w:rPr>
        <w:t xml:space="preserve"> Delhi High </w:t>
      </w:r>
      <w:r w:rsidRPr="00FE4953">
        <w:rPr>
          <w:rFonts w:ascii="Times New Roman" w:hAnsi="Times New Roman" w:cs="Times New Roman"/>
          <w:sz w:val="28"/>
          <w:szCs w:val="28"/>
          <w:shd w:val="clear" w:color="auto" w:fill="FFFFFF"/>
        </w:rPr>
        <w:lastRenderedPageBreak/>
        <w:t>Court had held that recognition and enforcement of a foreign award cannot be denied merely because it was in contravention with the laws of India. An award should be contrary to the fundamental policy of Indian law and only then enforcement could be denied. This Court h</w:t>
      </w:r>
      <w:r w:rsidR="00621115">
        <w:rPr>
          <w:rFonts w:ascii="Times New Roman" w:hAnsi="Times New Roman" w:cs="Times New Roman"/>
          <w:sz w:val="28"/>
          <w:szCs w:val="28"/>
          <w:shd w:val="clear" w:color="auto" w:fill="FFFFFF"/>
        </w:rPr>
        <w:t xml:space="preserve">ad in Pol India </w:t>
      </w:r>
      <w:proofErr w:type="gramStart"/>
      <w:r w:rsidR="00621115">
        <w:rPr>
          <w:rFonts w:ascii="Times New Roman" w:hAnsi="Times New Roman" w:cs="Times New Roman"/>
          <w:sz w:val="28"/>
          <w:szCs w:val="28"/>
          <w:shd w:val="clear" w:color="auto" w:fill="FFFFFF"/>
        </w:rPr>
        <w:t xml:space="preserve">Projects </w:t>
      </w:r>
      <w:r w:rsidRPr="00FE4953">
        <w:rPr>
          <w:rFonts w:ascii="Times New Roman" w:hAnsi="Times New Roman" w:cs="Times New Roman"/>
          <w:sz w:val="28"/>
          <w:szCs w:val="28"/>
          <w:shd w:val="clear" w:color="auto" w:fill="FFFFFF"/>
        </w:rPr>
        <w:t xml:space="preserve"> approved</w:t>
      </w:r>
      <w:proofErr w:type="gramEnd"/>
      <w:r w:rsidRPr="00FE4953">
        <w:rPr>
          <w:rFonts w:ascii="Times New Roman" w:hAnsi="Times New Roman" w:cs="Times New Roman"/>
          <w:sz w:val="28"/>
          <w:szCs w:val="28"/>
          <w:shd w:val="clear" w:color="auto" w:fill="FFFFFF"/>
        </w:rPr>
        <w:t xml:space="preserve"> of the decisio</w:t>
      </w:r>
      <w:r w:rsidR="00621115">
        <w:rPr>
          <w:rFonts w:ascii="Times New Roman" w:hAnsi="Times New Roman" w:cs="Times New Roman"/>
          <w:sz w:val="28"/>
          <w:szCs w:val="28"/>
          <w:shd w:val="clear" w:color="auto" w:fill="FFFFFF"/>
        </w:rPr>
        <w:t xml:space="preserve">n in Penn Racquet Sports </w:t>
      </w:r>
      <w:r w:rsidRPr="00FE4953">
        <w:rPr>
          <w:rFonts w:ascii="Times New Roman" w:hAnsi="Times New Roman" w:cs="Times New Roman"/>
          <w:sz w:val="28"/>
          <w:szCs w:val="28"/>
          <w:shd w:val="clear" w:color="auto" w:fill="FFFFFF"/>
        </w:rPr>
        <w:t xml:space="preserve"> as squarely applicable to the facts of the cases. The Cou</w:t>
      </w:r>
      <w:r w:rsidR="00621115">
        <w:rPr>
          <w:rFonts w:ascii="Times New Roman" w:hAnsi="Times New Roman" w:cs="Times New Roman"/>
          <w:sz w:val="28"/>
          <w:szCs w:val="28"/>
          <w:shd w:val="clear" w:color="auto" w:fill="FFFFFF"/>
        </w:rPr>
        <w:t xml:space="preserve">rt in Pol India Projects </w:t>
      </w:r>
      <w:r w:rsidRPr="00FE4953">
        <w:rPr>
          <w:rFonts w:ascii="Times New Roman" w:hAnsi="Times New Roman" w:cs="Times New Roman"/>
          <w:sz w:val="28"/>
          <w:szCs w:val="28"/>
          <w:shd w:val="clear" w:color="auto" w:fill="FFFFFF"/>
        </w:rPr>
        <w:t xml:space="preserve"> further observed that the Supreme Court had held since the expression "public policy' covers the field not covered by the words "and the law of India" which follow that expression contravention of law alone will not attract the bar of public policy and something more than the contravention of law is required and adverting to the facts of the case even if a law of guarantee could not have been issued in favour of the respondents under provisions of the Foreign Exchange Management (Guarantees) Regulation, 2000 which was acted upon by the parties. The violation of the provisions would not be contrary to the fundamental policy of Indian law</w:t>
      </w:r>
      <w:r w:rsidR="00621115">
        <w:rPr>
          <w:rFonts w:ascii="Times New Roman" w:hAnsi="Times New Roman" w:cs="Times New Roman"/>
          <w:sz w:val="28"/>
          <w:szCs w:val="28"/>
          <w:shd w:val="clear" w:color="auto" w:fill="FFFFFF"/>
        </w:rPr>
        <w:t xml:space="preserve">. POL India Projects </w:t>
      </w:r>
      <w:proofErr w:type="gramStart"/>
      <w:r w:rsidR="00621115">
        <w:rPr>
          <w:rFonts w:ascii="Times New Roman" w:hAnsi="Times New Roman" w:cs="Times New Roman"/>
          <w:sz w:val="28"/>
          <w:szCs w:val="28"/>
          <w:shd w:val="clear" w:color="auto" w:fill="FFFFFF"/>
        </w:rPr>
        <w:t xml:space="preserve">Ltd </w:t>
      </w:r>
      <w:r w:rsidRPr="00FE4953">
        <w:rPr>
          <w:rFonts w:ascii="Times New Roman" w:hAnsi="Times New Roman" w:cs="Times New Roman"/>
          <w:sz w:val="28"/>
          <w:szCs w:val="28"/>
          <w:shd w:val="clear" w:color="auto" w:fill="FFFFFF"/>
        </w:rPr>
        <w:t xml:space="preserve"> followed</w:t>
      </w:r>
      <w:proofErr w:type="gramEnd"/>
      <w:r w:rsidRPr="00FE4953">
        <w:rPr>
          <w:rFonts w:ascii="Times New Roman" w:hAnsi="Times New Roman" w:cs="Times New Roman"/>
          <w:sz w:val="28"/>
          <w:szCs w:val="28"/>
          <w:shd w:val="clear" w:color="auto" w:fill="FFFFFF"/>
        </w:rPr>
        <w:t xml:space="preserve"> the Delhi High Court decision in SRM Exploration </w:t>
      </w:r>
      <w:proofErr w:type="spellStart"/>
      <w:r w:rsidRPr="00FE4953">
        <w:rPr>
          <w:rFonts w:ascii="Times New Roman" w:hAnsi="Times New Roman" w:cs="Times New Roman"/>
          <w:sz w:val="28"/>
          <w:szCs w:val="28"/>
          <w:shd w:val="clear" w:color="auto" w:fill="FFFFFF"/>
        </w:rPr>
        <w:t>P.Ltd</w:t>
      </w:r>
      <w:proofErr w:type="spellEnd"/>
      <w:r w:rsidRPr="00FE4953">
        <w:rPr>
          <w:rFonts w:ascii="Times New Roman" w:hAnsi="Times New Roman" w:cs="Times New Roman"/>
          <w:sz w:val="28"/>
          <w:szCs w:val="28"/>
          <w:shd w:val="clear" w:color="auto" w:fill="FFFFFF"/>
        </w:rPr>
        <w:t xml:space="preserve"> vs. N &amp; S &amp; N Consultants holding</w:t>
      </w:r>
      <w:r w:rsidRPr="00FE4953">
        <w:rPr>
          <w:rStyle w:val="FootnoteReference"/>
          <w:rFonts w:ascii="Times New Roman" w:hAnsi="Times New Roman" w:cs="Times New Roman"/>
          <w:sz w:val="28"/>
          <w:szCs w:val="28"/>
          <w:shd w:val="clear" w:color="auto" w:fill="FFFFFF"/>
        </w:rPr>
        <w:footnoteReference w:id="15"/>
      </w:r>
      <w:r w:rsidRPr="00FE4953">
        <w:rPr>
          <w:rFonts w:ascii="Times New Roman" w:hAnsi="Times New Roman" w:cs="Times New Roman"/>
          <w:sz w:val="28"/>
          <w:szCs w:val="28"/>
          <w:shd w:val="clear" w:color="auto" w:fill="FFFFFF"/>
        </w:rPr>
        <w:t xml:space="preserve"> that legislative intent while enacting FEMA is not to void a transaction even if it is in violation. </w:t>
      </w:r>
      <w:proofErr w:type="gramStart"/>
      <w:r w:rsidRPr="00FE4953">
        <w:rPr>
          <w:rFonts w:ascii="Times New Roman" w:hAnsi="Times New Roman" w:cs="Times New Roman"/>
          <w:sz w:val="28"/>
          <w:szCs w:val="28"/>
          <w:shd w:val="clear" w:color="auto" w:fill="FFFFFF"/>
        </w:rPr>
        <w:t xml:space="preserve">As also of the decision of the Bombay High Court in </w:t>
      </w:r>
      <w:proofErr w:type="spellStart"/>
      <w:r w:rsidRPr="00FE4953">
        <w:rPr>
          <w:rFonts w:ascii="Times New Roman" w:hAnsi="Times New Roman" w:cs="Times New Roman"/>
          <w:sz w:val="28"/>
          <w:szCs w:val="28"/>
          <w:shd w:val="clear" w:color="auto" w:fill="FFFFFF"/>
        </w:rPr>
        <w:t>Noy</w:t>
      </w:r>
      <w:proofErr w:type="spellEnd"/>
      <w:r w:rsidRPr="00FE4953">
        <w:rPr>
          <w:rFonts w:ascii="Times New Roman" w:hAnsi="Times New Roman" w:cs="Times New Roman"/>
          <w:sz w:val="28"/>
          <w:szCs w:val="28"/>
          <w:shd w:val="clear" w:color="auto" w:fill="FFFFFF"/>
        </w:rPr>
        <w:t xml:space="preserve"> </w:t>
      </w:r>
      <w:proofErr w:type="spellStart"/>
      <w:r w:rsidRPr="00FE4953">
        <w:rPr>
          <w:rFonts w:ascii="Times New Roman" w:hAnsi="Times New Roman" w:cs="Times New Roman"/>
          <w:sz w:val="28"/>
          <w:szCs w:val="28"/>
          <w:shd w:val="clear" w:color="auto" w:fill="FFFFFF"/>
        </w:rPr>
        <w:t>Vallencia</w:t>
      </w:r>
      <w:proofErr w:type="spellEnd"/>
      <w:r w:rsidRPr="00FE4953">
        <w:rPr>
          <w:rFonts w:ascii="Times New Roman" w:hAnsi="Times New Roman" w:cs="Times New Roman"/>
          <w:sz w:val="28"/>
          <w:szCs w:val="28"/>
          <w:shd w:val="clear" w:color="auto" w:fill="FFFFFF"/>
        </w:rPr>
        <w:t xml:space="preserve"> Engi</w:t>
      </w:r>
      <w:r w:rsidR="00586EB6">
        <w:rPr>
          <w:rFonts w:ascii="Times New Roman" w:hAnsi="Times New Roman" w:cs="Times New Roman"/>
          <w:sz w:val="28"/>
          <w:szCs w:val="28"/>
          <w:shd w:val="clear" w:color="auto" w:fill="FFFFFF"/>
        </w:rPr>
        <w:t xml:space="preserve">neering Spa </w:t>
      </w:r>
      <w:proofErr w:type="spellStart"/>
      <w:r w:rsidR="00586EB6">
        <w:rPr>
          <w:rFonts w:ascii="Times New Roman" w:hAnsi="Times New Roman" w:cs="Times New Roman"/>
          <w:sz w:val="28"/>
          <w:szCs w:val="28"/>
          <w:shd w:val="clear" w:color="auto" w:fill="FFFFFF"/>
        </w:rPr>
        <w:t>Vs</w:t>
      </w:r>
      <w:proofErr w:type="spellEnd"/>
      <w:r w:rsidR="00586EB6">
        <w:rPr>
          <w:rFonts w:ascii="Times New Roman" w:hAnsi="Times New Roman" w:cs="Times New Roman"/>
          <w:sz w:val="28"/>
          <w:szCs w:val="28"/>
          <w:shd w:val="clear" w:color="auto" w:fill="FFFFFF"/>
        </w:rPr>
        <w:t xml:space="preserve"> Jindal Drugs Ltd</w:t>
      </w:r>
      <w:r w:rsidRPr="00FE4953">
        <w:rPr>
          <w:rStyle w:val="FootnoteReference"/>
          <w:rFonts w:ascii="Times New Roman" w:hAnsi="Times New Roman" w:cs="Times New Roman"/>
          <w:sz w:val="28"/>
          <w:szCs w:val="28"/>
          <w:shd w:val="clear" w:color="auto" w:fill="FFFFFF"/>
        </w:rPr>
        <w:footnoteReference w:id="16"/>
      </w:r>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A</w:t>
      </w:r>
      <w:r w:rsidRPr="00FE4953">
        <w:rPr>
          <w:rFonts w:ascii="Times New Roman" w:hAnsi="Times New Roman" w:cs="Times New Roman"/>
          <w:sz w:val="28"/>
          <w:szCs w:val="28"/>
          <w:shd w:val="clear" w:color="auto" w:fill="FFFFFF"/>
        </w:rPr>
        <w:t>ll of which allowed enforcement of foreign awards held and held that even if guarantees are not issued under FEMA Regulations, violation of the provisions would not be contravention of the fundamental policy of Indian law.</w:t>
      </w:r>
    </w:p>
    <w:p w14:paraId="6C0CCEDC" w14:textId="77777777" w:rsidR="00FE4953" w:rsidRPr="00FE4953" w:rsidRDefault="00FE4953" w:rsidP="00FE4953">
      <w:pPr>
        <w:spacing w:line="360" w:lineRule="auto"/>
        <w:jc w:val="both"/>
        <w:rPr>
          <w:rFonts w:ascii="Times New Roman" w:hAnsi="Times New Roman" w:cs="Times New Roman"/>
          <w:b/>
          <w:sz w:val="28"/>
          <w:szCs w:val="28"/>
          <w:u w:val="single"/>
        </w:rPr>
      </w:pPr>
      <w:r w:rsidRPr="00FE4953">
        <w:rPr>
          <w:rFonts w:ascii="Times New Roman" w:hAnsi="Times New Roman" w:cs="Times New Roman"/>
          <w:b/>
          <w:sz w:val="28"/>
          <w:szCs w:val="28"/>
          <w:u w:val="single"/>
        </w:rPr>
        <w:t>VIJAY KARIA CASE AND ITS IMPACTS</w:t>
      </w:r>
    </w:p>
    <w:p w14:paraId="4268B4CC" w14:textId="77777777" w:rsidR="00FE4953" w:rsidRPr="00FE4953" w:rsidRDefault="00FE4953" w:rsidP="00FE4953">
      <w:pPr>
        <w:spacing w:line="360" w:lineRule="auto"/>
        <w:jc w:val="both"/>
        <w:rPr>
          <w:rFonts w:ascii="Times New Roman" w:hAnsi="Times New Roman" w:cs="Times New Roman"/>
          <w:sz w:val="28"/>
          <w:szCs w:val="28"/>
        </w:rPr>
      </w:pPr>
      <w:r w:rsidRPr="00FE4953">
        <w:rPr>
          <w:rFonts w:ascii="Times New Roman" w:hAnsi="Times New Roman" w:cs="Times New Roman"/>
          <w:sz w:val="28"/>
          <w:szCs w:val="28"/>
        </w:rPr>
        <w:t xml:space="preserve"> The Supreme Court in Vijay </w:t>
      </w:r>
      <w:proofErr w:type="spellStart"/>
      <w:r w:rsidRPr="00FE4953">
        <w:rPr>
          <w:rFonts w:ascii="Times New Roman" w:hAnsi="Times New Roman" w:cs="Times New Roman"/>
          <w:sz w:val="28"/>
          <w:szCs w:val="28"/>
        </w:rPr>
        <w:t>Karia</w:t>
      </w:r>
      <w:proofErr w:type="spellEnd"/>
      <w:r w:rsidRPr="00FE4953">
        <w:rPr>
          <w:rFonts w:ascii="Times New Roman" w:hAnsi="Times New Roman" w:cs="Times New Roman"/>
          <w:sz w:val="28"/>
          <w:szCs w:val="28"/>
        </w:rPr>
        <w:t xml:space="preserve"> &amp; Others vs. </w:t>
      </w:r>
      <w:proofErr w:type="spellStart"/>
      <w:r w:rsidRPr="00FE4953">
        <w:rPr>
          <w:rFonts w:ascii="Times New Roman" w:hAnsi="Times New Roman" w:cs="Times New Roman"/>
          <w:sz w:val="28"/>
          <w:szCs w:val="28"/>
        </w:rPr>
        <w:t>Prysmian</w:t>
      </w:r>
      <w:proofErr w:type="spellEnd"/>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Cavi</w:t>
      </w:r>
      <w:proofErr w:type="spellEnd"/>
      <w:r w:rsidRPr="00FE4953">
        <w:rPr>
          <w:rFonts w:ascii="Times New Roman" w:hAnsi="Times New Roman" w:cs="Times New Roman"/>
          <w:sz w:val="28"/>
          <w:szCs w:val="28"/>
        </w:rPr>
        <w:t xml:space="preserve"> E </w:t>
      </w:r>
      <w:proofErr w:type="spellStart"/>
      <w:r w:rsidRPr="00FE4953">
        <w:rPr>
          <w:rFonts w:ascii="Times New Roman" w:hAnsi="Times New Roman" w:cs="Times New Roman"/>
          <w:sz w:val="28"/>
          <w:szCs w:val="28"/>
        </w:rPr>
        <w:t>Sistemi</w:t>
      </w:r>
      <w:proofErr w:type="spellEnd"/>
      <w:r w:rsidRPr="00FE4953">
        <w:rPr>
          <w:rFonts w:ascii="Times New Roman" w:hAnsi="Times New Roman" w:cs="Times New Roman"/>
          <w:sz w:val="28"/>
          <w:szCs w:val="28"/>
        </w:rPr>
        <w:t xml:space="preserve"> SRL &amp; Others (“</w:t>
      </w:r>
      <w:proofErr w:type="spellStart"/>
      <w:r w:rsidRPr="00FE4953">
        <w:rPr>
          <w:rFonts w:ascii="Times New Roman" w:hAnsi="Times New Roman" w:cs="Times New Roman"/>
          <w:sz w:val="28"/>
          <w:szCs w:val="28"/>
        </w:rPr>
        <w:t>Prysmian</w:t>
      </w:r>
      <w:proofErr w:type="spellEnd"/>
      <w:r w:rsidRPr="00FE4953">
        <w:rPr>
          <w:rFonts w:ascii="Times New Roman" w:hAnsi="Times New Roman" w:cs="Times New Roman"/>
          <w:sz w:val="28"/>
          <w:szCs w:val="28"/>
        </w:rPr>
        <w:t xml:space="preserve">”) has while expounding on various aspects of prospective challenge to a foreign award that would not fall within the scope of Section 48 viz. matters of appreciation of evidence, methodology of valuation, application of allegedly disparate standards in determining breach etc., further held that the </w:t>
      </w:r>
      <w:r w:rsidRPr="00FE4953">
        <w:rPr>
          <w:rFonts w:ascii="Times New Roman" w:hAnsi="Times New Roman" w:cs="Times New Roman"/>
          <w:sz w:val="28"/>
          <w:szCs w:val="28"/>
        </w:rPr>
        <w:lastRenderedPageBreak/>
        <w:t xml:space="preserve">expression “was otherwise unable to present his case” occurring in Section 48(1)(b), and which reflects a natural-justice safeguard, “cannot be given an expansive meaning”. 30. Continuing with the pro-enforcement approach, on 13 February 2020, the Supreme Court (three-judge bench) in </w:t>
      </w:r>
      <w:proofErr w:type="spellStart"/>
      <w:r w:rsidRPr="00FE4953">
        <w:rPr>
          <w:rFonts w:ascii="Times New Roman" w:hAnsi="Times New Roman" w:cs="Times New Roman"/>
          <w:sz w:val="28"/>
          <w:szCs w:val="28"/>
        </w:rPr>
        <w:t>Prysmian</w:t>
      </w:r>
      <w:proofErr w:type="spellEnd"/>
      <w:r w:rsidRPr="00FE4953">
        <w:rPr>
          <w:rFonts w:ascii="Times New Roman" w:hAnsi="Times New Roman" w:cs="Times New Roman"/>
          <w:sz w:val="28"/>
          <w:szCs w:val="28"/>
        </w:rPr>
        <w:t xml:space="preserve"> reiterated the narrow scope of interference and under Section 48. In </w:t>
      </w:r>
      <w:proofErr w:type="spellStart"/>
      <w:r w:rsidRPr="00FE4953">
        <w:rPr>
          <w:rFonts w:ascii="Times New Roman" w:hAnsi="Times New Roman" w:cs="Times New Roman"/>
          <w:sz w:val="28"/>
          <w:szCs w:val="28"/>
        </w:rPr>
        <w:t>Prysmian</w:t>
      </w:r>
      <w:proofErr w:type="spellEnd"/>
      <w:r w:rsidRPr="00FE4953">
        <w:rPr>
          <w:rFonts w:ascii="Times New Roman" w:hAnsi="Times New Roman" w:cs="Times New Roman"/>
          <w:sz w:val="28"/>
          <w:szCs w:val="28"/>
        </w:rPr>
        <w:t xml:space="preserve"> the Supreme Court also agreed with reasoning of Cruz City that a foreign award may be enforced even if </w:t>
      </w:r>
      <w:proofErr w:type="gramStart"/>
      <w:r w:rsidRPr="00FE4953">
        <w:rPr>
          <w:rFonts w:ascii="Times New Roman" w:hAnsi="Times New Roman" w:cs="Times New Roman"/>
          <w:sz w:val="28"/>
          <w:szCs w:val="28"/>
        </w:rPr>
        <w:t>its</w:t>
      </w:r>
      <w:proofErr w:type="gramEnd"/>
      <w:r w:rsidRPr="00FE4953">
        <w:rPr>
          <w:rFonts w:ascii="Times New Roman" w:hAnsi="Times New Roman" w:cs="Times New Roman"/>
          <w:sz w:val="28"/>
          <w:szCs w:val="28"/>
        </w:rPr>
        <w:t xml:space="preserve"> inconsistent with the provisions of an Indian statute (i.e. the Foreign Exchange Management Act, 1999). What is equally noteworthy is the Supreme Court’s final paragraph in </w:t>
      </w:r>
      <w:proofErr w:type="spellStart"/>
      <w:r w:rsidRPr="00FE4953">
        <w:rPr>
          <w:rFonts w:ascii="Times New Roman" w:hAnsi="Times New Roman" w:cs="Times New Roman"/>
          <w:sz w:val="28"/>
          <w:szCs w:val="28"/>
        </w:rPr>
        <w:t>Prysmian</w:t>
      </w:r>
      <w:proofErr w:type="spellEnd"/>
      <w:r w:rsidRPr="00FE4953">
        <w:rPr>
          <w:rFonts w:ascii="Times New Roman" w:hAnsi="Times New Roman" w:cs="Times New Roman"/>
          <w:sz w:val="28"/>
          <w:szCs w:val="28"/>
        </w:rPr>
        <w:t xml:space="preserve">. It sends out a strong message and crystalizes India’s approach in relation to enforcement of foreign awards. The Supreme Court imposed cost of INR 50 lakhs on the petitioner in </w:t>
      </w:r>
      <w:proofErr w:type="spellStart"/>
      <w:r w:rsidRPr="00FE4953">
        <w:rPr>
          <w:rFonts w:ascii="Times New Roman" w:hAnsi="Times New Roman" w:cs="Times New Roman"/>
          <w:sz w:val="28"/>
          <w:szCs w:val="28"/>
        </w:rPr>
        <w:t>Prysmian</w:t>
      </w:r>
      <w:proofErr w:type="spellEnd"/>
      <w:r w:rsidRPr="00FE4953">
        <w:rPr>
          <w:rFonts w:ascii="Times New Roman" w:hAnsi="Times New Roman" w:cs="Times New Roman"/>
          <w:sz w:val="28"/>
          <w:szCs w:val="28"/>
        </w:rPr>
        <w:t xml:space="preserve"> for “indulging in a speculative litigation with the fond hope that by flinging mud on a foreign arbitral award, some of the mud so flung would stick.” The Court also held that “[w]e have no doubt whatsoever that all the pleas taken by the Appellants are, in reality, pleas going to the unfairness of the conclusions reached by the award, which is plainly a foray into the </w:t>
      </w:r>
      <w:proofErr w:type="gramStart"/>
      <w:r w:rsidRPr="00FE4953">
        <w:rPr>
          <w:rFonts w:ascii="Times New Roman" w:hAnsi="Times New Roman" w:cs="Times New Roman"/>
          <w:sz w:val="28"/>
          <w:szCs w:val="28"/>
        </w:rPr>
        <w:t>merits  of</w:t>
      </w:r>
      <w:proofErr w:type="gramEnd"/>
      <w:r w:rsidRPr="00FE4953">
        <w:rPr>
          <w:rFonts w:ascii="Times New Roman" w:hAnsi="Times New Roman" w:cs="Times New Roman"/>
          <w:sz w:val="28"/>
          <w:szCs w:val="28"/>
        </w:rPr>
        <w:t xml:space="preserve"> the matter, and which is plainly proscribed by Section 48 of the Arbitration Act read with the New York Convention”. </w:t>
      </w:r>
      <w:proofErr w:type="gramStart"/>
      <w:r w:rsidRPr="00FE4953">
        <w:rPr>
          <w:rFonts w:ascii="Times New Roman" w:hAnsi="Times New Roman" w:cs="Times New Roman"/>
          <w:sz w:val="28"/>
          <w:szCs w:val="28"/>
        </w:rPr>
        <w:t>That being so, there have also been cases 8 (both before and after the Amendment Act) where enforcement of foreign awards has been refused.</w:t>
      </w:r>
      <w:proofErr w:type="gramEnd"/>
      <w:r w:rsidRPr="00FE4953">
        <w:rPr>
          <w:rFonts w:ascii="Times New Roman" w:hAnsi="Times New Roman" w:cs="Times New Roman"/>
          <w:sz w:val="28"/>
          <w:szCs w:val="28"/>
        </w:rPr>
        <w:t xml:space="preserve"> Understandably so, these cases are not many in number. For instance, in Campos Brothers, the Delhi High Court refused enforcement of a foreign award principally on the ground that it was in violation of the principles of natural justice and contrary to the public policy of India as stated in sub-Section 2(b) read with Explanation 1(iii) of Section 48 of the Arbitration Act. The tribunal in this case failed to take into consideration the submissions made by one of the parties and the foreign award had incorrectly recorded that no submission/filing had been made (which the respondent in this case rebutted with proof of receipt by the tribunal). In another case of </w:t>
      </w:r>
      <w:proofErr w:type="spellStart"/>
      <w:r w:rsidRPr="00FE4953">
        <w:rPr>
          <w:rFonts w:ascii="Times New Roman" w:hAnsi="Times New Roman" w:cs="Times New Roman"/>
          <w:sz w:val="28"/>
          <w:szCs w:val="28"/>
        </w:rPr>
        <w:t>Agritrade</w:t>
      </w:r>
      <w:proofErr w:type="spellEnd"/>
      <w:r w:rsidRPr="00FE4953">
        <w:rPr>
          <w:rFonts w:ascii="Times New Roman" w:hAnsi="Times New Roman" w:cs="Times New Roman"/>
          <w:sz w:val="28"/>
          <w:szCs w:val="28"/>
        </w:rPr>
        <w:t xml:space="preserve"> International (which is pre-amendment judgment), the enforcement of foreign award was </w:t>
      </w:r>
      <w:r w:rsidRPr="00FE4953">
        <w:rPr>
          <w:rFonts w:ascii="Times New Roman" w:hAnsi="Times New Roman" w:cs="Times New Roman"/>
          <w:sz w:val="28"/>
          <w:szCs w:val="28"/>
        </w:rPr>
        <w:lastRenderedPageBreak/>
        <w:t>rejected on two grounds - (i) under Section 48(2</w:t>
      </w:r>
      <w:proofErr w:type="gramStart"/>
      <w:r w:rsidRPr="00FE4953">
        <w:rPr>
          <w:rFonts w:ascii="Times New Roman" w:hAnsi="Times New Roman" w:cs="Times New Roman"/>
          <w:sz w:val="28"/>
          <w:szCs w:val="28"/>
        </w:rPr>
        <w:t>)(</w:t>
      </w:r>
      <w:proofErr w:type="gramEnd"/>
      <w:r w:rsidRPr="00FE4953">
        <w:rPr>
          <w:rFonts w:ascii="Times New Roman" w:hAnsi="Times New Roman" w:cs="Times New Roman"/>
          <w:sz w:val="28"/>
          <w:szCs w:val="28"/>
        </w:rPr>
        <w:t>a) of the Arbitration Act, since the dispute was not capable of arbitration in the absence of an arbitration agreement and (ii) under Section 48(2)(b) of the Arbitration Act (</w:t>
      </w:r>
      <w:proofErr w:type="spellStart"/>
      <w:r w:rsidRPr="00FE4953">
        <w:rPr>
          <w:rFonts w:ascii="Times New Roman" w:hAnsi="Times New Roman" w:cs="Times New Roman"/>
          <w:sz w:val="28"/>
          <w:szCs w:val="28"/>
        </w:rPr>
        <w:t>unamended</w:t>
      </w:r>
      <w:proofErr w:type="spellEnd"/>
      <w:r w:rsidRPr="00FE4953">
        <w:rPr>
          <w:rFonts w:ascii="Times New Roman" w:hAnsi="Times New Roman" w:cs="Times New Roman"/>
          <w:sz w:val="28"/>
          <w:szCs w:val="28"/>
        </w:rPr>
        <w:t xml:space="preserve">) since the foreign award was not based on any evidence.  See Campos Brothers Farms vs. </w:t>
      </w:r>
      <w:proofErr w:type="spellStart"/>
      <w:r w:rsidRPr="00FE4953">
        <w:rPr>
          <w:rFonts w:ascii="Times New Roman" w:hAnsi="Times New Roman" w:cs="Times New Roman"/>
          <w:sz w:val="28"/>
          <w:szCs w:val="28"/>
        </w:rPr>
        <w:t>Matru</w:t>
      </w:r>
      <w:proofErr w:type="spellEnd"/>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Bhumi</w:t>
      </w:r>
      <w:proofErr w:type="spellEnd"/>
      <w:r w:rsidRPr="00FE4953">
        <w:rPr>
          <w:rFonts w:ascii="Times New Roman" w:hAnsi="Times New Roman" w:cs="Times New Roman"/>
          <w:sz w:val="28"/>
          <w:szCs w:val="28"/>
        </w:rPr>
        <w:t xml:space="preserve"> Supply Chain </w:t>
      </w:r>
      <w:proofErr w:type="spellStart"/>
      <w:r w:rsidRPr="00FE4953">
        <w:rPr>
          <w:rFonts w:ascii="Times New Roman" w:hAnsi="Times New Roman" w:cs="Times New Roman"/>
          <w:sz w:val="28"/>
          <w:szCs w:val="28"/>
        </w:rPr>
        <w:t>Pvt.</w:t>
      </w:r>
      <w:proofErr w:type="spellEnd"/>
      <w:r w:rsidRPr="00FE4953">
        <w:rPr>
          <w:rFonts w:ascii="Times New Roman" w:hAnsi="Times New Roman" w:cs="Times New Roman"/>
          <w:sz w:val="28"/>
          <w:szCs w:val="28"/>
        </w:rPr>
        <w:t xml:space="preserve"> Ltd, (“Campos Brothers”)</w:t>
      </w:r>
      <w:r w:rsidRPr="00FE4953">
        <w:rPr>
          <w:rStyle w:val="FootnoteReference"/>
          <w:rFonts w:ascii="Times New Roman" w:hAnsi="Times New Roman" w:cs="Times New Roman"/>
          <w:sz w:val="28"/>
          <w:szCs w:val="28"/>
        </w:rPr>
        <w:footnoteReference w:id="17"/>
      </w:r>
      <w:r w:rsidRPr="00FE4953">
        <w:rPr>
          <w:rFonts w:ascii="Times New Roman" w:hAnsi="Times New Roman" w:cs="Times New Roman"/>
          <w:sz w:val="28"/>
          <w:szCs w:val="28"/>
        </w:rPr>
        <w:t xml:space="preserve">, </w:t>
      </w:r>
      <w:proofErr w:type="spellStart"/>
      <w:r w:rsidRPr="00FE4953">
        <w:rPr>
          <w:rFonts w:ascii="Times New Roman" w:hAnsi="Times New Roman" w:cs="Times New Roman"/>
          <w:sz w:val="28"/>
          <w:szCs w:val="28"/>
        </w:rPr>
        <w:t>Agritrade</w:t>
      </w:r>
      <w:proofErr w:type="spellEnd"/>
      <w:r w:rsidRPr="00FE4953">
        <w:rPr>
          <w:rFonts w:ascii="Times New Roman" w:hAnsi="Times New Roman" w:cs="Times New Roman"/>
          <w:sz w:val="28"/>
          <w:szCs w:val="28"/>
        </w:rPr>
        <w:t xml:space="preserve"> International Pte Ltd vs. National Agricultural Co-operative Marketing Federation of India Ltd, (“</w:t>
      </w:r>
      <w:proofErr w:type="spellStart"/>
      <w:r w:rsidRPr="00FE4953">
        <w:rPr>
          <w:rFonts w:ascii="Times New Roman" w:hAnsi="Times New Roman" w:cs="Times New Roman"/>
          <w:sz w:val="28"/>
          <w:szCs w:val="28"/>
        </w:rPr>
        <w:t>Agritrade</w:t>
      </w:r>
      <w:proofErr w:type="spellEnd"/>
      <w:r w:rsidRPr="00FE4953">
        <w:rPr>
          <w:rFonts w:ascii="Times New Roman" w:hAnsi="Times New Roman" w:cs="Times New Roman"/>
          <w:sz w:val="28"/>
          <w:szCs w:val="28"/>
        </w:rPr>
        <w:t xml:space="preserve"> International”).</w:t>
      </w:r>
      <w:r w:rsidRPr="00FE4953">
        <w:rPr>
          <w:rStyle w:val="FootnoteReference"/>
          <w:rFonts w:ascii="Times New Roman" w:hAnsi="Times New Roman" w:cs="Times New Roman"/>
          <w:sz w:val="28"/>
          <w:szCs w:val="28"/>
        </w:rPr>
        <w:footnoteReference w:id="18"/>
      </w:r>
    </w:p>
    <w:p w14:paraId="749D2493" w14:textId="77777777" w:rsidR="00AA53A3" w:rsidRDefault="00AA53A3" w:rsidP="00FE4953">
      <w:pPr>
        <w:spacing w:line="360" w:lineRule="auto"/>
        <w:jc w:val="both"/>
        <w:rPr>
          <w:rFonts w:ascii="Times New Roman" w:hAnsi="Times New Roman" w:cs="Times New Roman"/>
          <w:b/>
          <w:sz w:val="28"/>
          <w:szCs w:val="28"/>
          <w:shd w:val="clear" w:color="auto" w:fill="FFFFFF"/>
        </w:rPr>
      </w:pPr>
    </w:p>
    <w:p w14:paraId="19C36C4F" w14:textId="77777777" w:rsidR="00FE4953" w:rsidRPr="00FE4953" w:rsidRDefault="00FE4953" w:rsidP="00FE4953">
      <w:pPr>
        <w:spacing w:line="360" w:lineRule="auto"/>
        <w:jc w:val="both"/>
        <w:rPr>
          <w:rFonts w:ascii="Times New Roman" w:hAnsi="Times New Roman" w:cs="Times New Roman"/>
          <w:b/>
          <w:sz w:val="28"/>
          <w:szCs w:val="28"/>
          <w:shd w:val="clear" w:color="auto" w:fill="FFFFFF"/>
        </w:rPr>
      </w:pPr>
      <w:r w:rsidRPr="00FE4953">
        <w:rPr>
          <w:rFonts w:ascii="Times New Roman" w:hAnsi="Times New Roman" w:cs="Times New Roman"/>
          <w:b/>
          <w:sz w:val="28"/>
          <w:szCs w:val="28"/>
          <w:shd w:val="clear" w:color="auto" w:fill="FFFFFF"/>
        </w:rPr>
        <w:t>Conclusion</w:t>
      </w:r>
    </w:p>
    <w:p w14:paraId="791EC9C5" w14:textId="07AC8C5F" w:rsidR="00FE4953" w:rsidRPr="00FE4953" w:rsidRDefault="00FE4953" w:rsidP="00FE4953">
      <w:pPr>
        <w:pStyle w:val="NormalWeb"/>
        <w:spacing w:line="360" w:lineRule="auto"/>
        <w:jc w:val="both"/>
        <w:rPr>
          <w:sz w:val="28"/>
          <w:szCs w:val="28"/>
        </w:rPr>
      </w:pPr>
      <w:r w:rsidRPr="00FE4953">
        <w:rPr>
          <w:sz w:val="28"/>
          <w:szCs w:val="28"/>
        </w:rPr>
        <w:t xml:space="preserve"> That the failure to challenge the award in the seat of Arbitration would in any manner impact the right of a party to resist enforcement in this country and in this respect  with the views expressed in </w:t>
      </w:r>
      <w:proofErr w:type="spellStart"/>
      <w:r w:rsidRPr="00FE4953">
        <w:rPr>
          <w:sz w:val="28"/>
          <w:szCs w:val="28"/>
        </w:rPr>
        <w:t>Dallah</w:t>
      </w:r>
      <w:proofErr w:type="spellEnd"/>
      <w:r w:rsidRPr="00FE4953">
        <w:rPr>
          <w:sz w:val="28"/>
          <w:szCs w:val="28"/>
        </w:rPr>
        <w:t xml:space="preserve"> Real Estate</w:t>
      </w:r>
      <w:r w:rsidRPr="00FE4953">
        <w:rPr>
          <w:rStyle w:val="FootnoteReference"/>
          <w:sz w:val="28"/>
          <w:szCs w:val="28"/>
        </w:rPr>
        <w:footnoteReference w:id="19"/>
      </w:r>
      <w:r w:rsidRPr="00FE4953">
        <w:rPr>
          <w:sz w:val="28"/>
          <w:szCs w:val="28"/>
        </w:rPr>
        <w:t xml:space="preserve"> and PT First Media</w:t>
      </w:r>
      <w:r w:rsidRPr="00FE4953">
        <w:rPr>
          <w:rStyle w:val="FootnoteReference"/>
          <w:sz w:val="28"/>
          <w:szCs w:val="28"/>
        </w:rPr>
        <w:footnoteReference w:id="20"/>
      </w:r>
      <w:r w:rsidRPr="00FE4953">
        <w:rPr>
          <w:sz w:val="28"/>
          <w:szCs w:val="28"/>
        </w:rPr>
        <w:t xml:space="preserve">  is followed in Vijay </w:t>
      </w:r>
      <w:proofErr w:type="spellStart"/>
      <w:r w:rsidRPr="00FE4953">
        <w:rPr>
          <w:sz w:val="28"/>
          <w:szCs w:val="28"/>
        </w:rPr>
        <w:t>Karia</w:t>
      </w:r>
      <w:proofErr w:type="spellEnd"/>
      <w:r w:rsidRPr="00FE4953">
        <w:rPr>
          <w:sz w:val="28"/>
          <w:szCs w:val="28"/>
        </w:rPr>
        <w:t xml:space="preserve">&amp; </w:t>
      </w:r>
      <w:proofErr w:type="spellStart"/>
      <w:r w:rsidRPr="00FE4953">
        <w:rPr>
          <w:sz w:val="28"/>
          <w:szCs w:val="28"/>
        </w:rPr>
        <w:t>Ors</w:t>
      </w:r>
      <w:proofErr w:type="spellEnd"/>
      <w:r w:rsidRPr="00FE4953">
        <w:rPr>
          <w:sz w:val="28"/>
          <w:szCs w:val="28"/>
        </w:rPr>
        <w:t xml:space="preserve"> (Supra).</w:t>
      </w:r>
      <w:r w:rsidR="00586EB6">
        <w:rPr>
          <w:sz w:val="28"/>
          <w:szCs w:val="28"/>
        </w:rPr>
        <w:t xml:space="preserve"> The Arbitration &amp; Conciliation</w:t>
      </w:r>
      <w:r w:rsidRPr="00FE4953">
        <w:rPr>
          <w:sz w:val="28"/>
          <w:szCs w:val="28"/>
        </w:rPr>
        <w:t xml:space="preserve"> Act, 1996 in its current avatar also does not support the view that resisting enforcement would be subject to a prior challenge at the seat of arbitration. It does not support the view that absent a challenge in the seat of the Arbitration, a party could not resist enforcement of the award in a different jurisdiction. </w:t>
      </w:r>
      <w:proofErr w:type="gramStart"/>
      <w:r w:rsidRPr="00FE4953">
        <w:rPr>
          <w:sz w:val="28"/>
          <w:szCs w:val="28"/>
        </w:rPr>
        <w:t>If that were to be so the legislature would have provided for appropriate pre-conditions to resist enforcement of foreign award and justifiably so because if an award were to be set aside in the seat, there may be no occasion to resist enforcement.</w:t>
      </w:r>
      <w:proofErr w:type="gramEnd"/>
      <w:r w:rsidRPr="00FE4953">
        <w:rPr>
          <w:sz w:val="28"/>
          <w:szCs w:val="28"/>
        </w:rPr>
        <w:t xml:space="preserve"> On the other hand if a challenge at the seat is repelled, a losing party could still resist enforcement on available grounds.   A foreign award was not challenged in the seat of </w:t>
      </w:r>
      <w:proofErr w:type="gramStart"/>
      <w:r w:rsidRPr="00FE4953">
        <w:rPr>
          <w:sz w:val="28"/>
          <w:szCs w:val="28"/>
        </w:rPr>
        <w:t>arbitration,</w:t>
      </w:r>
      <w:proofErr w:type="gramEnd"/>
      <w:r w:rsidRPr="00FE4953">
        <w:rPr>
          <w:sz w:val="28"/>
          <w:szCs w:val="28"/>
        </w:rPr>
        <w:t xml:space="preserve"> nothing prevents the respondents from resisting enforcement. It is akin to judgment debtor resisting </w:t>
      </w:r>
      <w:r w:rsidRPr="00FE4953">
        <w:rPr>
          <w:sz w:val="28"/>
          <w:szCs w:val="28"/>
        </w:rPr>
        <w:lastRenderedPageBreak/>
        <w:t>execution on just and valid grounds. Merely because the decree has not being challenged does not render resistance to its execution under legitimate legal grounds invalid. This excluded cases where a challenge in the seat was necessary such as in Ar</w:t>
      </w:r>
      <w:r w:rsidR="00586EB6">
        <w:rPr>
          <w:sz w:val="28"/>
          <w:szCs w:val="28"/>
        </w:rPr>
        <w:t>k Shipping and Pol India</w:t>
      </w:r>
      <w:r w:rsidR="00586EB6">
        <w:rPr>
          <w:rStyle w:val="FootnoteReference"/>
          <w:sz w:val="28"/>
          <w:szCs w:val="28"/>
        </w:rPr>
        <w:footnoteReference w:id="21"/>
      </w:r>
      <w:r w:rsidRPr="00FE4953">
        <w:rPr>
          <w:sz w:val="28"/>
          <w:szCs w:val="28"/>
        </w:rPr>
        <w:t xml:space="preserve"> but otherwise a party cannot be prevented from attempting to resist enforcement of a foreign award.</w:t>
      </w:r>
    </w:p>
    <w:p w14:paraId="2D2F77D0" w14:textId="77777777" w:rsidR="00FE4953" w:rsidRDefault="00FE4953" w:rsidP="00FE4953">
      <w:pPr>
        <w:spacing w:line="360" w:lineRule="auto"/>
        <w:jc w:val="both"/>
        <w:rPr>
          <w:rFonts w:ascii="Times New Roman" w:hAnsi="Times New Roman" w:cs="Times New Roman"/>
          <w:b/>
          <w:sz w:val="28"/>
          <w:szCs w:val="28"/>
          <w:shd w:val="clear" w:color="auto" w:fill="FFFFFF"/>
        </w:rPr>
      </w:pPr>
    </w:p>
    <w:p w14:paraId="6E7E5BBF" w14:textId="77777777" w:rsidR="00AA53A3" w:rsidRDefault="00AA53A3" w:rsidP="00FE4953">
      <w:pPr>
        <w:spacing w:line="360" w:lineRule="auto"/>
        <w:jc w:val="both"/>
        <w:rPr>
          <w:rFonts w:ascii="Times New Roman" w:hAnsi="Times New Roman" w:cs="Times New Roman"/>
          <w:b/>
          <w:sz w:val="28"/>
          <w:szCs w:val="28"/>
          <w:shd w:val="clear" w:color="auto" w:fill="FFFFFF"/>
        </w:rPr>
      </w:pPr>
    </w:p>
    <w:p w14:paraId="0092A8C0" w14:textId="77777777" w:rsidR="00AA53A3" w:rsidRDefault="00AA53A3" w:rsidP="00FE4953">
      <w:pPr>
        <w:spacing w:line="360" w:lineRule="auto"/>
        <w:jc w:val="both"/>
        <w:rPr>
          <w:rFonts w:ascii="Times New Roman" w:hAnsi="Times New Roman" w:cs="Times New Roman"/>
          <w:b/>
          <w:sz w:val="28"/>
          <w:szCs w:val="28"/>
          <w:shd w:val="clear" w:color="auto" w:fill="FFFFFF"/>
        </w:rPr>
      </w:pPr>
    </w:p>
    <w:p w14:paraId="156072B1" w14:textId="77777777" w:rsidR="00AA53A3" w:rsidRDefault="00AA53A3" w:rsidP="00FE4953">
      <w:pPr>
        <w:spacing w:line="360" w:lineRule="auto"/>
        <w:jc w:val="both"/>
        <w:rPr>
          <w:rFonts w:ascii="Times New Roman" w:hAnsi="Times New Roman" w:cs="Times New Roman"/>
          <w:b/>
          <w:sz w:val="28"/>
          <w:szCs w:val="28"/>
          <w:shd w:val="clear" w:color="auto" w:fill="FFFFFF"/>
        </w:rPr>
      </w:pPr>
    </w:p>
    <w:p w14:paraId="301CB8D5" w14:textId="77777777" w:rsidR="00AA53A3" w:rsidRDefault="00AA53A3" w:rsidP="00FE4953">
      <w:pPr>
        <w:spacing w:line="360" w:lineRule="auto"/>
        <w:jc w:val="both"/>
        <w:rPr>
          <w:rFonts w:ascii="Times New Roman" w:hAnsi="Times New Roman" w:cs="Times New Roman"/>
          <w:b/>
          <w:sz w:val="28"/>
          <w:szCs w:val="28"/>
          <w:shd w:val="clear" w:color="auto" w:fill="FFFFFF"/>
        </w:rPr>
      </w:pPr>
    </w:p>
    <w:p w14:paraId="58EBA220" w14:textId="77777777" w:rsidR="00AA53A3" w:rsidRDefault="00AA53A3" w:rsidP="00FE4953">
      <w:pPr>
        <w:spacing w:line="360" w:lineRule="auto"/>
        <w:jc w:val="both"/>
        <w:rPr>
          <w:rFonts w:ascii="Times New Roman" w:hAnsi="Times New Roman" w:cs="Times New Roman"/>
          <w:b/>
          <w:sz w:val="28"/>
          <w:szCs w:val="28"/>
          <w:shd w:val="clear" w:color="auto" w:fill="FFFFFF"/>
        </w:rPr>
      </w:pPr>
    </w:p>
    <w:p w14:paraId="62B7868B" w14:textId="77777777" w:rsidR="00AA53A3" w:rsidRDefault="00AA53A3" w:rsidP="00FE4953">
      <w:pPr>
        <w:spacing w:line="360" w:lineRule="auto"/>
        <w:jc w:val="both"/>
        <w:rPr>
          <w:rFonts w:ascii="Times New Roman" w:hAnsi="Times New Roman" w:cs="Times New Roman"/>
          <w:b/>
          <w:sz w:val="28"/>
          <w:szCs w:val="28"/>
          <w:shd w:val="clear" w:color="auto" w:fill="FFFFFF"/>
        </w:rPr>
      </w:pPr>
    </w:p>
    <w:p w14:paraId="35B16DA5" w14:textId="77777777" w:rsidR="00AA53A3" w:rsidRDefault="00AA53A3" w:rsidP="00FE4953">
      <w:pPr>
        <w:spacing w:line="360" w:lineRule="auto"/>
        <w:jc w:val="both"/>
        <w:rPr>
          <w:rFonts w:ascii="Times New Roman" w:hAnsi="Times New Roman" w:cs="Times New Roman"/>
          <w:b/>
          <w:sz w:val="28"/>
          <w:szCs w:val="28"/>
          <w:shd w:val="clear" w:color="auto" w:fill="FFFFFF"/>
        </w:rPr>
      </w:pPr>
    </w:p>
    <w:p w14:paraId="72C82309" w14:textId="77777777" w:rsidR="00AA53A3" w:rsidRDefault="00AA53A3" w:rsidP="00FE4953">
      <w:pPr>
        <w:spacing w:line="360" w:lineRule="auto"/>
        <w:jc w:val="both"/>
        <w:rPr>
          <w:rFonts w:ascii="Times New Roman" w:hAnsi="Times New Roman" w:cs="Times New Roman"/>
          <w:b/>
          <w:sz w:val="28"/>
          <w:szCs w:val="28"/>
          <w:shd w:val="clear" w:color="auto" w:fill="FFFFFF"/>
        </w:rPr>
      </w:pPr>
    </w:p>
    <w:p w14:paraId="02F51725" w14:textId="77777777" w:rsidR="00AA53A3" w:rsidRPr="00FE4953" w:rsidRDefault="00AA53A3" w:rsidP="00FE4953">
      <w:pPr>
        <w:spacing w:line="360" w:lineRule="auto"/>
        <w:jc w:val="both"/>
        <w:rPr>
          <w:rFonts w:ascii="Times New Roman" w:hAnsi="Times New Roman" w:cs="Times New Roman"/>
          <w:b/>
          <w:sz w:val="28"/>
          <w:szCs w:val="28"/>
          <w:shd w:val="clear" w:color="auto" w:fill="FFFFFF"/>
        </w:rPr>
      </w:pPr>
    </w:p>
    <w:p w14:paraId="11143A1C" w14:textId="77777777" w:rsidR="00FE4953" w:rsidRPr="00FE4953" w:rsidRDefault="00FE4953" w:rsidP="00FE4953">
      <w:pPr>
        <w:spacing w:line="360" w:lineRule="auto"/>
        <w:ind w:left="720"/>
        <w:jc w:val="both"/>
        <w:rPr>
          <w:rFonts w:ascii="Times New Roman" w:hAnsi="Times New Roman" w:cs="Times New Roman"/>
          <w:sz w:val="28"/>
          <w:szCs w:val="28"/>
          <w:shd w:val="clear" w:color="auto" w:fill="FFFFFF"/>
        </w:rPr>
      </w:pPr>
    </w:p>
    <w:p w14:paraId="50060BF4" w14:textId="77777777" w:rsidR="00FE4953" w:rsidRPr="00FE4953" w:rsidRDefault="00FE4953" w:rsidP="00FE4953">
      <w:pPr>
        <w:spacing w:line="360" w:lineRule="auto"/>
        <w:ind w:left="720"/>
        <w:jc w:val="both"/>
        <w:rPr>
          <w:rFonts w:ascii="Times New Roman" w:hAnsi="Times New Roman" w:cs="Times New Roman"/>
          <w:sz w:val="28"/>
          <w:szCs w:val="28"/>
          <w:shd w:val="clear" w:color="auto" w:fill="FFFFFF"/>
        </w:rPr>
      </w:pPr>
    </w:p>
    <w:p w14:paraId="130569EF" w14:textId="77777777" w:rsidR="00FE4953" w:rsidRPr="00FE4953" w:rsidRDefault="00FE4953" w:rsidP="00FE4953">
      <w:pPr>
        <w:spacing w:line="360" w:lineRule="auto"/>
        <w:jc w:val="both"/>
        <w:rPr>
          <w:rFonts w:ascii="Times New Roman" w:hAnsi="Times New Roman" w:cs="Times New Roman"/>
          <w:sz w:val="28"/>
          <w:szCs w:val="28"/>
          <w:shd w:val="clear" w:color="auto" w:fill="FFFFFF"/>
        </w:rPr>
      </w:pPr>
    </w:p>
    <w:p w14:paraId="006C2EFE" w14:textId="77777777" w:rsidR="00586EB6" w:rsidRDefault="00586EB6" w:rsidP="00FE4953">
      <w:pPr>
        <w:spacing w:line="360" w:lineRule="auto"/>
        <w:jc w:val="both"/>
        <w:rPr>
          <w:rFonts w:ascii="Times New Roman" w:hAnsi="Times New Roman" w:cs="Times New Roman"/>
          <w:b/>
          <w:sz w:val="28"/>
          <w:szCs w:val="28"/>
          <w:u w:val="single"/>
        </w:rPr>
      </w:pPr>
    </w:p>
    <w:p w14:paraId="365C7194" w14:textId="77777777" w:rsidR="00586EB6" w:rsidRDefault="00586EB6" w:rsidP="00FE4953">
      <w:pPr>
        <w:spacing w:line="360" w:lineRule="auto"/>
        <w:jc w:val="both"/>
        <w:rPr>
          <w:rFonts w:ascii="Times New Roman" w:hAnsi="Times New Roman" w:cs="Times New Roman"/>
          <w:b/>
          <w:sz w:val="28"/>
          <w:szCs w:val="28"/>
          <w:u w:val="single"/>
        </w:rPr>
      </w:pPr>
    </w:p>
    <w:p w14:paraId="137E185B" w14:textId="77777777" w:rsidR="00586EB6" w:rsidRDefault="00586EB6" w:rsidP="00FE4953">
      <w:pPr>
        <w:spacing w:line="360" w:lineRule="auto"/>
        <w:jc w:val="both"/>
        <w:rPr>
          <w:rFonts w:ascii="Times New Roman" w:hAnsi="Times New Roman" w:cs="Times New Roman"/>
          <w:b/>
          <w:sz w:val="28"/>
          <w:szCs w:val="28"/>
          <w:u w:val="single"/>
        </w:rPr>
      </w:pPr>
    </w:p>
    <w:p w14:paraId="7E724E3B" w14:textId="77777777" w:rsidR="00621115" w:rsidRDefault="00621115" w:rsidP="00FE4953">
      <w:pPr>
        <w:spacing w:line="360" w:lineRule="auto"/>
        <w:jc w:val="both"/>
        <w:rPr>
          <w:rFonts w:ascii="Times New Roman" w:hAnsi="Times New Roman" w:cs="Times New Roman"/>
          <w:b/>
          <w:sz w:val="28"/>
          <w:szCs w:val="28"/>
          <w:u w:val="single"/>
        </w:rPr>
      </w:pPr>
    </w:p>
    <w:p w14:paraId="51BDA494" w14:textId="1329A127" w:rsidR="00FE4953" w:rsidRPr="00AA53A3" w:rsidRDefault="00AA53A3" w:rsidP="00FE4953">
      <w:pPr>
        <w:spacing w:line="360" w:lineRule="auto"/>
        <w:jc w:val="both"/>
        <w:rPr>
          <w:rFonts w:ascii="Times New Roman" w:hAnsi="Times New Roman" w:cs="Times New Roman"/>
          <w:b/>
          <w:sz w:val="28"/>
          <w:szCs w:val="28"/>
          <w:u w:val="single"/>
        </w:rPr>
      </w:pPr>
      <w:r w:rsidRPr="00AA53A3">
        <w:rPr>
          <w:rFonts w:ascii="Times New Roman" w:hAnsi="Times New Roman" w:cs="Times New Roman"/>
          <w:b/>
          <w:sz w:val="28"/>
          <w:szCs w:val="28"/>
          <w:u w:val="single"/>
        </w:rPr>
        <w:lastRenderedPageBreak/>
        <w:t>REFERENCES</w:t>
      </w:r>
    </w:p>
    <w:p w14:paraId="735FA8CA" w14:textId="77777777" w:rsidR="00FE4953" w:rsidRPr="00FE4953" w:rsidRDefault="00FE4953" w:rsidP="00FE4953">
      <w:pPr>
        <w:pStyle w:val="ListParagraph"/>
        <w:numPr>
          <w:ilvl w:val="0"/>
          <w:numId w:val="27"/>
        </w:numPr>
        <w:spacing w:after="160" w:line="360" w:lineRule="auto"/>
        <w:jc w:val="both"/>
        <w:rPr>
          <w:sz w:val="28"/>
          <w:szCs w:val="28"/>
        </w:rPr>
      </w:pPr>
      <w:r w:rsidRPr="00FE4953">
        <w:rPr>
          <w:sz w:val="28"/>
          <w:szCs w:val="28"/>
        </w:rPr>
        <w:t xml:space="preserve">Xstrata Coal Marketing AG vs. </w:t>
      </w:r>
      <w:proofErr w:type="spellStart"/>
      <w:r w:rsidRPr="00FE4953">
        <w:rPr>
          <w:sz w:val="28"/>
          <w:szCs w:val="28"/>
        </w:rPr>
        <w:t>Dalmia</w:t>
      </w:r>
      <w:proofErr w:type="spellEnd"/>
      <w:r w:rsidRPr="00FE4953">
        <w:rPr>
          <w:sz w:val="28"/>
          <w:szCs w:val="28"/>
        </w:rPr>
        <w:t xml:space="preserve"> Bharat Cement Limited, (2016) SCC Online Del 5861; </w:t>
      </w:r>
    </w:p>
    <w:p w14:paraId="37DB4438" w14:textId="77777777" w:rsidR="00FE4953" w:rsidRPr="00FE4953" w:rsidRDefault="00FE4953" w:rsidP="00FE4953">
      <w:pPr>
        <w:pStyle w:val="ListParagraph"/>
        <w:numPr>
          <w:ilvl w:val="0"/>
          <w:numId w:val="27"/>
        </w:numPr>
        <w:spacing w:after="160" w:line="360" w:lineRule="auto"/>
        <w:jc w:val="both"/>
        <w:rPr>
          <w:sz w:val="28"/>
          <w:szCs w:val="28"/>
        </w:rPr>
      </w:pPr>
      <w:r w:rsidRPr="00FE4953">
        <w:rPr>
          <w:sz w:val="28"/>
          <w:szCs w:val="28"/>
        </w:rPr>
        <w:t xml:space="preserve">Daiichi Sankyo Company Limited vs. </w:t>
      </w:r>
      <w:proofErr w:type="spellStart"/>
      <w:r w:rsidRPr="00FE4953">
        <w:rPr>
          <w:sz w:val="28"/>
          <w:szCs w:val="28"/>
        </w:rPr>
        <w:t>Malvinder</w:t>
      </w:r>
      <w:proofErr w:type="spellEnd"/>
      <w:r w:rsidRPr="00FE4953">
        <w:rPr>
          <w:sz w:val="28"/>
          <w:szCs w:val="28"/>
        </w:rPr>
        <w:t xml:space="preserve"> Mohan Singh &amp; Others, (2018) SCC Online Del 6869;</w:t>
      </w:r>
    </w:p>
    <w:p w14:paraId="71D4F57A" w14:textId="77777777" w:rsidR="00FE4953" w:rsidRPr="00FE4953" w:rsidRDefault="00FE4953" w:rsidP="00FE4953">
      <w:pPr>
        <w:pStyle w:val="ListParagraph"/>
        <w:numPr>
          <w:ilvl w:val="0"/>
          <w:numId w:val="27"/>
        </w:numPr>
        <w:spacing w:after="160" w:line="360" w:lineRule="auto"/>
        <w:jc w:val="both"/>
        <w:rPr>
          <w:sz w:val="28"/>
          <w:szCs w:val="28"/>
        </w:rPr>
      </w:pPr>
      <w:r w:rsidRPr="00FE4953">
        <w:rPr>
          <w:sz w:val="28"/>
          <w:szCs w:val="28"/>
        </w:rPr>
        <w:t xml:space="preserve"> Swiss Singapore Overseas Enterprises Pte Ltd vs. SARA International </w:t>
      </w:r>
      <w:proofErr w:type="spellStart"/>
      <w:r w:rsidRPr="00FE4953">
        <w:rPr>
          <w:sz w:val="28"/>
          <w:szCs w:val="28"/>
        </w:rPr>
        <w:t>Pvt.</w:t>
      </w:r>
      <w:proofErr w:type="spellEnd"/>
      <w:r w:rsidRPr="00FE4953">
        <w:rPr>
          <w:sz w:val="28"/>
          <w:szCs w:val="28"/>
        </w:rPr>
        <w:t xml:space="preserve"> Ltd., (2018) SCC Online 7916;</w:t>
      </w:r>
    </w:p>
    <w:p w14:paraId="11DA410F" w14:textId="77777777" w:rsidR="00FE4953" w:rsidRPr="00FE4953" w:rsidRDefault="00FE4953" w:rsidP="00FE4953">
      <w:pPr>
        <w:pStyle w:val="ListParagraph"/>
        <w:numPr>
          <w:ilvl w:val="0"/>
          <w:numId w:val="27"/>
        </w:numPr>
        <w:spacing w:after="160" w:line="360" w:lineRule="auto"/>
        <w:jc w:val="both"/>
        <w:rPr>
          <w:sz w:val="28"/>
          <w:szCs w:val="28"/>
        </w:rPr>
      </w:pPr>
      <w:r w:rsidRPr="00FE4953">
        <w:rPr>
          <w:sz w:val="28"/>
          <w:szCs w:val="28"/>
        </w:rPr>
        <w:t xml:space="preserve"> OHT Hawk AS vs. </w:t>
      </w:r>
      <w:proofErr w:type="spellStart"/>
      <w:r w:rsidRPr="00FE4953">
        <w:rPr>
          <w:sz w:val="28"/>
          <w:szCs w:val="28"/>
        </w:rPr>
        <w:t>Jagson</w:t>
      </w:r>
      <w:proofErr w:type="spellEnd"/>
      <w:r w:rsidRPr="00FE4953">
        <w:rPr>
          <w:sz w:val="28"/>
          <w:szCs w:val="28"/>
        </w:rPr>
        <w:t xml:space="preserve"> International Ltd, (2018) SCC Online Del 9655;</w:t>
      </w:r>
    </w:p>
    <w:p w14:paraId="7CFE9A1D" w14:textId="77777777" w:rsidR="00FE4953" w:rsidRPr="00FE4953" w:rsidRDefault="00FE4953" w:rsidP="00FE4953">
      <w:pPr>
        <w:pStyle w:val="ListParagraph"/>
        <w:numPr>
          <w:ilvl w:val="0"/>
          <w:numId w:val="27"/>
        </w:numPr>
        <w:spacing w:after="160" w:line="360" w:lineRule="auto"/>
        <w:jc w:val="both"/>
        <w:rPr>
          <w:sz w:val="28"/>
          <w:szCs w:val="28"/>
        </w:rPr>
      </w:pPr>
      <w:r w:rsidRPr="00FE4953">
        <w:rPr>
          <w:sz w:val="28"/>
          <w:szCs w:val="28"/>
        </w:rPr>
        <w:t xml:space="preserve"> </w:t>
      </w:r>
      <w:proofErr w:type="spellStart"/>
      <w:r w:rsidRPr="00FE4953">
        <w:rPr>
          <w:sz w:val="28"/>
          <w:szCs w:val="28"/>
        </w:rPr>
        <w:t>Keytrade</w:t>
      </w:r>
      <w:proofErr w:type="spellEnd"/>
      <w:r w:rsidRPr="00FE4953">
        <w:rPr>
          <w:sz w:val="28"/>
          <w:szCs w:val="28"/>
        </w:rPr>
        <w:t xml:space="preserve"> AG vs. Nagarjuna Fertilizers and Chemicals Limited, Ex EP No. 3 of 2017, High Court of Judicature at Hyderabad for the State of </w:t>
      </w:r>
      <w:proofErr w:type="spellStart"/>
      <w:r w:rsidRPr="00FE4953">
        <w:rPr>
          <w:sz w:val="28"/>
          <w:szCs w:val="28"/>
        </w:rPr>
        <w:t>Telangana</w:t>
      </w:r>
      <w:proofErr w:type="spellEnd"/>
      <w:r w:rsidRPr="00FE4953">
        <w:rPr>
          <w:sz w:val="28"/>
          <w:szCs w:val="28"/>
        </w:rPr>
        <w:t xml:space="preserve"> and the State of Andhra Pradesh; </w:t>
      </w:r>
    </w:p>
    <w:p w14:paraId="4E6B372E" w14:textId="77777777" w:rsidR="00FE4953" w:rsidRPr="00FE4953" w:rsidRDefault="00FE4953" w:rsidP="00FE4953">
      <w:pPr>
        <w:pStyle w:val="ListParagraph"/>
        <w:numPr>
          <w:ilvl w:val="0"/>
          <w:numId w:val="27"/>
        </w:numPr>
        <w:spacing w:after="160" w:line="360" w:lineRule="auto"/>
        <w:jc w:val="both"/>
        <w:rPr>
          <w:sz w:val="28"/>
          <w:szCs w:val="28"/>
        </w:rPr>
      </w:pPr>
      <w:r w:rsidRPr="00FE4953">
        <w:rPr>
          <w:sz w:val="28"/>
          <w:szCs w:val="28"/>
        </w:rPr>
        <w:t xml:space="preserve">Vijay </w:t>
      </w:r>
      <w:proofErr w:type="spellStart"/>
      <w:r w:rsidRPr="00FE4953">
        <w:rPr>
          <w:sz w:val="28"/>
          <w:szCs w:val="28"/>
        </w:rPr>
        <w:t>Karia</w:t>
      </w:r>
      <w:proofErr w:type="spellEnd"/>
      <w:r w:rsidRPr="00FE4953">
        <w:rPr>
          <w:sz w:val="28"/>
          <w:szCs w:val="28"/>
        </w:rPr>
        <w:t xml:space="preserve"> &amp; Others vs. </w:t>
      </w:r>
      <w:proofErr w:type="spellStart"/>
      <w:r w:rsidRPr="00FE4953">
        <w:rPr>
          <w:sz w:val="28"/>
          <w:szCs w:val="28"/>
        </w:rPr>
        <w:t>Prysmian</w:t>
      </w:r>
      <w:proofErr w:type="spellEnd"/>
      <w:r w:rsidRPr="00FE4953">
        <w:rPr>
          <w:sz w:val="28"/>
          <w:szCs w:val="28"/>
        </w:rPr>
        <w:t xml:space="preserve"> </w:t>
      </w:r>
      <w:proofErr w:type="spellStart"/>
      <w:r w:rsidRPr="00FE4953">
        <w:rPr>
          <w:sz w:val="28"/>
          <w:szCs w:val="28"/>
        </w:rPr>
        <w:t>Cavi</w:t>
      </w:r>
      <w:proofErr w:type="spellEnd"/>
      <w:r w:rsidRPr="00FE4953">
        <w:rPr>
          <w:sz w:val="28"/>
          <w:szCs w:val="28"/>
        </w:rPr>
        <w:t xml:space="preserve"> E </w:t>
      </w:r>
      <w:proofErr w:type="spellStart"/>
      <w:r w:rsidRPr="00FE4953">
        <w:rPr>
          <w:sz w:val="28"/>
          <w:szCs w:val="28"/>
        </w:rPr>
        <w:t>Sistemi</w:t>
      </w:r>
      <w:proofErr w:type="spellEnd"/>
      <w:r w:rsidRPr="00FE4953">
        <w:rPr>
          <w:sz w:val="28"/>
          <w:szCs w:val="28"/>
        </w:rPr>
        <w:t xml:space="preserve"> SRL &amp; Others, (2020) SCC Online SC 177 </w:t>
      </w:r>
    </w:p>
    <w:p w14:paraId="0230C83D" w14:textId="77777777" w:rsidR="00FE4953" w:rsidRPr="00FE4953" w:rsidRDefault="00FE4953" w:rsidP="00FE4953">
      <w:pPr>
        <w:pStyle w:val="ListParagraph"/>
        <w:numPr>
          <w:ilvl w:val="0"/>
          <w:numId w:val="27"/>
        </w:numPr>
        <w:spacing w:after="160" w:line="360" w:lineRule="auto"/>
        <w:jc w:val="both"/>
        <w:rPr>
          <w:sz w:val="28"/>
          <w:szCs w:val="28"/>
        </w:rPr>
      </w:pPr>
      <w:r w:rsidRPr="00FE4953">
        <w:rPr>
          <w:sz w:val="28"/>
          <w:szCs w:val="28"/>
        </w:rPr>
        <w:t xml:space="preserve">Campos Brothers Farms vs. </w:t>
      </w:r>
      <w:proofErr w:type="spellStart"/>
      <w:r w:rsidRPr="00FE4953">
        <w:rPr>
          <w:sz w:val="28"/>
          <w:szCs w:val="28"/>
        </w:rPr>
        <w:t>Matru</w:t>
      </w:r>
      <w:proofErr w:type="spellEnd"/>
      <w:r w:rsidRPr="00FE4953">
        <w:rPr>
          <w:sz w:val="28"/>
          <w:szCs w:val="28"/>
        </w:rPr>
        <w:t xml:space="preserve"> </w:t>
      </w:r>
      <w:proofErr w:type="spellStart"/>
      <w:r w:rsidRPr="00FE4953">
        <w:rPr>
          <w:sz w:val="28"/>
          <w:szCs w:val="28"/>
        </w:rPr>
        <w:t>Bhumi</w:t>
      </w:r>
      <w:proofErr w:type="spellEnd"/>
      <w:r w:rsidRPr="00FE4953">
        <w:rPr>
          <w:sz w:val="28"/>
          <w:szCs w:val="28"/>
        </w:rPr>
        <w:t xml:space="preserve"> Supply Chain </w:t>
      </w:r>
      <w:proofErr w:type="spellStart"/>
      <w:r w:rsidRPr="00FE4953">
        <w:rPr>
          <w:sz w:val="28"/>
          <w:szCs w:val="28"/>
        </w:rPr>
        <w:t>Pvt.</w:t>
      </w:r>
      <w:proofErr w:type="spellEnd"/>
      <w:r w:rsidRPr="00FE4953">
        <w:rPr>
          <w:sz w:val="28"/>
          <w:szCs w:val="28"/>
        </w:rPr>
        <w:t xml:space="preserve"> Ltd, (2019) SCC Online Del 8350 (“Campos Brothers”); </w:t>
      </w:r>
    </w:p>
    <w:p w14:paraId="247E8E8C" w14:textId="77777777" w:rsidR="00FE4953" w:rsidRPr="00FE4953" w:rsidRDefault="00FE4953" w:rsidP="00FE4953">
      <w:pPr>
        <w:pStyle w:val="ListParagraph"/>
        <w:numPr>
          <w:ilvl w:val="0"/>
          <w:numId w:val="27"/>
        </w:numPr>
        <w:spacing w:after="160" w:line="360" w:lineRule="auto"/>
        <w:jc w:val="both"/>
        <w:rPr>
          <w:sz w:val="28"/>
          <w:szCs w:val="28"/>
        </w:rPr>
      </w:pPr>
      <w:r w:rsidRPr="00FE4953">
        <w:rPr>
          <w:sz w:val="28"/>
          <w:szCs w:val="28"/>
        </w:rPr>
        <w:t xml:space="preserve">National Agricultural Co-operative Marketing Federation of India Ltd vs. Cinergy Corporation Pte Ltd, OMP 243 of 2008, Delhi High Court; </w:t>
      </w:r>
    </w:p>
    <w:p w14:paraId="262F6828" w14:textId="77777777" w:rsidR="00FE4953" w:rsidRPr="00FE4953" w:rsidRDefault="00FE4953" w:rsidP="00FE4953">
      <w:pPr>
        <w:pStyle w:val="ListParagraph"/>
        <w:numPr>
          <w:ilvl w:val="0"/>
          <w:numId w:val="27"/>
        </w:numPr>
        <w:spacing w:after="160" w:line="360" w:lineRule="auto"/>
        <w:jc w:val="both"/>
        <w:rPr>
          <w:sz w:val="28"/>
          <w:szCs w:val="28"/>
        </w:rPr>
      </w:pPr>
      <w:proofErr w:type="spellStart"/>
      <w:r w:rsidRPr="00FE4953">
        <w:rPr>
          <w:sz w:val="28"/>
          <w:szCs w:val="28"/>
        </w:rPr>
        <w:t>Agritrade</w:t>
      </w:r>
      <w:proofErr w:type="spellEnd"/>
      <w:r w:rsidRPr="00FE4953">
        <w:rPr>
          <w:sz w:val="28"/>
          <w:szCs w:val="28"/>
        </w:rPr>
        <w:t xml:space="preserve"> International Pte Ltd vs. National Agricultural Co-operative Marketing Federation of India Ltd, 2012 (128) DRJ 371 (“</w:t>
      </w:r>
      <w:proofErr w:type="spellStart"/>
      <w:r w:rsidRPr="00FE4953">
        <w:rPr>
          <w:sz w:val="28"/>
          <w:szCs w:val="28"/>
        </w:rPr>
        <w:t>Agritrade</w:t>
      </w:r>
      <w:proofErr w:type="spellEnd"/>
      <w:r w:rsidRPr="00FE4953">
        <w:rPr>
          <w:sz w:val="28"/>
          <w:szCs w:val="28"/>
        </w:rPr>
        <w:t xml:space="preserve"> International”)</w:t>
      </w:r>
    </w:p>
    <w:p w14:paraId="03BB821A"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 </w:t>
      </w:r>
      <w:hyperlink r:id="rId8" w:history="1">
        <w:r w:rsidRPr="00FE4953">
          <w:rPr>
            <w:rStyle w:val="Hyperlink"/>
            <w:color w:val="auto"/>
            <w:sz w:val="28"/>
            <w:szCs w:val="28"/>
          </w:rPr>
          <w:t xml:space="preserve">Shri </w:t>
        </w:r>
        <w:proofErr w:type="spellStart"/>
        <w:r w:rsidRPr="00FE4953">
          <w:rPr>
            <w:rStyle w:val="Hyperlink"/>
            <w:color w:val="auto"/>
            <w:sz w:val="28"/>
            <w:szCs w:val="28"/>
          </w:rPr>
          <w:t>Lal</w:t>
        </w:r>
        <w:proofErr w:type="spellEnd"/>
        <w:r w:rsidRPr="00FE4953">
          <w:rPr>
            <w:rStyle w:val="Hyperlink"/>
            <w:color w:val="auto"/>
            <w:sz w:val="28"/>
            <w:szCs w:val="28"/>
          </w:rPr>
          <w:t xml:space="preserve"> </w:t>
        </w:r>
        <w:proofErr w:type="spellStart"/>
        <w:r w:rsidRPr="00FE4953">
          <w:rPr>
            <w:rStyle w:val="Hyperlink"/>
            <w:color w:val="auto"/>
            <w:sz w:val="28"/>
            <w:szCs w:val="28"/>
          </w:rPr>
          <w:t>Mahal</w:t>
        </w:r>
        <w:proofErr w:type="spellEnd"/>
        <w:r w:rsidRPr="00FE4953">
          <w:rPr>
            <w:rStyle w:val="Hyperlink"/>
            <w:color w:val="auto"/>
            <w:sz w:val="28"/>
            <w:szCs w:val="28"/>
          </w:rPr>
          <w:t xml:space="preserve"> Limited vs. </w:t>
        </w:r>
        <w:proofErr w:type="spellStart"/>
        <w:r w:rsidRPr="00FE4953">
          <w:rPr>
            <w:rStyle w:val="Hyperlink"/>
            <w:color w:val="auto"/>
            <w:sz w:val="28"/>
            <w:szCs w:val="28"/>
          </w:rPr>
          <w:t>Progetto</w:t>
        </w:r>
        <w:proofErr w:type="spellEnd"/>
        <w:r w:rsidRPr="00FE4953">
          <w:rPr>
            <w:rStyle w:val="Hyperlink"/>
            <w:color w:val="auto"/>
            <w:sz w:val="28"/>
            <w:szCs w:val="28"/>
          </w:rPr>
          <w:t xml:space="preserve"> </w:t>
        </w:r>
        <w:proofErr w:type="spellStart"/>
        <w:r w:rsidRPr="00FE4953">
          <w:rPr>
            <w:rStyle w:val="Hyperlink"/>
            <w:color w:val="auto"/>
            <w:sz w:val="28"/>
            <w:szCs w:val="28"/>
          </w:rPr>
          <w:t>Grano</w:t>
        </w:r>
        <w:proofErr w:type="spellEnd"/>
        <w:r w:rsidRPr="00FE4953">
          <w:rPr>
            <w:rStyle w:val="Hyperlink"/>
            <w:color w:val="auto"/>
            <w:sz w:val="28"/>
            <w:szCs w:val="28"/>
          </w:rPr>
          <w:t xml:space="preserve"> SPA</w:t>
        </w:r>
      </w:hyperlink>
      <w:r w:rsidRPr="00FE4953">
        <w:rPr>
          <w:sz w:val="28"/>
          <w:szCs w:val="28"/>
        </w:rPr>
        <w:t>  (2014) 2 SCC 433</w:t>
      </w:r>
    </w:p>
    <w:p w14:paraId="4B7AE26E"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 </w:t>
      </w:r>
      <w:hyperlink r:id="rId9" w:history="1">
        <w:r w:rsidRPr="00FE4953">
          <w:rPr>
            <w:rStyle w:val="Hyperlink"/>
            <w:color w:val="auto"/>
            <w:sz w:val="28"/>
            <w:szCs w:val="28"/>
          </w:rPr>
          <w:t>M/s. Louis Dreyfus Commodities Suisse S. A. vs. Sakuma Exports Ltd</w:t>
        </w:r>
      </w:hyperlink>
      <w:r w:rsidRPr="00FE4953">
        <w:rPr>
          <w:sz w:val="28"/>
          <w:szCs w:val="28"/>
        </w:rPr>
        <w:t xml:space="preserve">. 22 (2015) SCC Online </w:t>
      </w:r>
      <w:proofErr w:type="spellStart"/>
      <w:r w:rsidRPr="00FE4953">
        <w:rPr>
          <w:sz w:val="28"/>
          <w:szCs w:val="28"/>
        </w:rPr>
        <w:t>Bom</w:t>
      </w:r>
      <w:proofErr w:type="spellEnd"/>
      <w:r w:rsidRPr="00FE4953">
        <w:rPr>
          <w:sz w:val="28"/>
          <w:szCs w:val="28"/>
        </w:rPr>
        <w:t xml:space="preserve"> 5006</w:t>
      </w:r>
    </w:p>
    <w:p w14:paraId="444D7EA3"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 </w:t>
      </w:r>
      <w:proofErr w:type="spellStart"/>
      <w:r w:rsidR="00CC55E7">
        <w:fldChar w:fldCharType="begin"/>
      </w:r>
      <w:r w:rsidR="00CC55E7">
        <w:instrText xml:space="preserve"> HYPERLINK "https://indiankanoon.org/doc/11288107/" </w:instrText>
      </w:r>
      <w:r w:rsidR="00CC55E7">
        <w:fldChar w:fldCharType="separate"/>
      </w:r>
      <w:r w:rsidRPr="00FE4953">
        <w:rPr>
          <w:rStyle w:val="Hyperlink"/>
          <w:color w:val="auto"/>
          <w:sz w:val="28"/>
          <w:szCs w:val="28"/>
        </w:rPr>
        <w:t>Sideralba</w:t>
      </w:r>
      <w:proofErr w:type="spellEnd"/>
      <w:r w:rsidRPr="00FE4953">
        <w:rPr>
          <w:rStyle w:val="Hyperlink"/>
          <w:color w:val="auto"/>
          <w:sz w:val="28"/>
          <w:szCs w:val="28"/>
        </w:rPr>
        <w:t xml:space="preserve"> S.P.A. vs. Shree </w:t>
      </w:r>
      <w:proofErr w:type="spellStart"/>
      <w:r w:rsidRPr="00FE4953">
        <w:rPr>
          <w:rStyle w:val="Hyperlink"/>
          <w:color w:val="auto"/>
          <w:sz w:val="28"/>
          <w:szCs w:val="28"/>
        </w:rPr>
        <w:t>Precoated</w:t>
      </w:r>
      <w:proofErr w:type="spellEnd"/>
      <w:r w:rsidRPr="00FE4953">
        <w:rPr>
          <w:rStyle w:val="Hyperlink"/>
          <w:color w:val="auto"/>
          <w:sz w:val="28"/>
          <w:szCs w:val="28"/>
        </w:rPr>
        <w:t xml:space="preserve"> Steels Ltd</w:t>
      </w:r>
      <w:r w:rsidR="00CC55E7">
        <w:rPr>
          <w:rStyle w:val="Hyperlink"/>
          <w:color w:val="auto"/>
          <w:sz w:val="28"/>
          <w:szCs w:val="28"/>
        </w:rPr>
        <w:fldChar w:fldCharType="end"/>
      </w:r>
      <w:r w:rsidRPr="00FE4953">
        <w:rPr>
          <w:sz w:val="28"/>
          <w:szCs w:val="28"/>
        </w:rPr>
        <w:t xml:space="preserve">. (2015) SCC Online </w:t>
      </w:r>
      <w:proofErr w:type="spellStart"/>
      <w:r w:rsidRPr="00FE4953">
        <w:rPr>
          <w:sz w:val="28"/>
          <w:szCs w:val="28"/>
        </w:rPr>
        <w:t>Bom</w:t>
      </w:r>
      <w:proofErr w:type="spellEnd"/>
      <w:r w:rsidRPr="00FE4953">
        <w:rPr>
          <w:sz w:val="28"/>
          <w:szCs w:val="28"/>
        </w:rPr>
        <w:t xml:space="preserve"> 5056</w:t>
      </w:r>
    </w:p>
    <w:p w14:paraId="6C000389" w14:textId="77777777" w:rsidR="00FE4953" w:rsidRPr="00FE4953" w:rsidRDefault="004544AF" w:rsidP="00FE4953">
      <w:pPr>
        <w:pStyle w:val="NormalWeb"/>
        <w:numPr>
          <w:ilvl w:val="0"/>
          <w:numId w:val="27"/>
        </w:numPr>
        <w:spacing w:line="360" w:lineRule="auto"/>
        <w:jc w:val="both"/>
        <w:rPr>
          <w:sz w:val="28"/>
          <w:szCs w:val="28"/>
        </w:rPr>
      </w:pPr>
      <w:hyperlink r:id="rId10" w:history="1">
        <w:r w:rsidR="00FE4953" w:rsidRPr="00FE4953">
          <w:rPr>
            <w:rStyle w:val="Hyperlink"/>
            <w:color w:val="auto"/>
            <w:sz w:val="28"/>
            <w:szCs w:val="28"/>
          </w:rPr>
          <w:t xml:space="preserve">Richmond Mercantile Limited FZC vs. </w:t>
        </w:r>
        <w:proofErr w:type="spellStart"/>
        <w:r w:rsidR="00FE4953" w:rsidRPr="00FE4953">
          <w:rPr>
            <w:rStyle w:val="Hyperlink"/>
            <w:color w:val="auto"/>
            <w:sz w:val="28"/>
            <w:szCs w:val="28"/>
          </w:rPr>
          <w:t>Vinergy</w:t>
        </w:r>
        <w:proofErr w:type="spellEnd"/>
        <w:r w:rsidR="00FE4953" w:rsidRPr="00FE4953">
          <w:rPr>
            <w:rStyle w:val="Hyperlink"/>
            <w:color w:val="auto"/>
            <w:sz w:val="28"/>
            <w:szCs w:val="28"/>
          </w:rPr>
          <w:t xml:space="preserve"> International Pvt.Ltd</w:t>
        </w:r>
      </w:hyperlink>
      <w:r w:rsidR="00FE4953" w:rsidRPr="00FE4953">
        <w:rPr>
          <w:sz w:val="28"/>
          <w:szCs w:val="28"/>
        </w:rPr>
        <w:t xml:space="preserve">. 24 (2016) SCC Online </w:t>
      </w:r>
      <w:proofErr w:type="spellStart"/>
      <w:r w:rsidR="00FE4953" w:rsidRPr="00FE4953">
        <w:rPr>
          <w:sz w:val="28"/>
          <w:szCs w:val="28"/>
        </w:rPr>
        <w:t>Bom</w:t>
      </w:r>
      <w:proofErr w:type="spellEnd"/>
      <w:r w:rsidR="00FE4953" w:rsidRPr="00FE4953">
        <w:rPr>
          <w:sz w:val="28"/>
          <w:szCs w:val="28"/>
        </w:rPr>
        <w:t xml:space="preserve"> 4559</w:t>
      </w:r>
    </w:p>
    <w:p w14:paraId="5794942E"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lastRenderedPageBreak/>
        <w:t> </w:t>
      </w:r>
      <w:hyperlink r:id="rId11" w:history="1">
        <w:r w:rsidRPr="00FE4953">
          <w:rPr>
            <w:rStyle w:val="Hyperlink"/>
            <w:color w:val="auto"/>
            <w:sz w:val="28"/>
            <w:szCs w:val="28"/>
          </w:rPr>
          <w:t>HRD Corporation (Marcus Oil and Chemical) vs. Gail (I) Ltd</w:t>
        </w:r>
      </w:hyperlink>
      <w:r w:rsidRPr="00FE4953">
        <w:rPr>
          <w:sz w:val="28"/>
          <w:szCs w:val="28"/>
        </w:rPr>
        <w:t xml:space="preserve">. </w:t>
      </w:r>
      <w:r w:rsidRPr="00FE4953">
        <w:rPr>
          <w:sz w:val="28"/>
          <w:szCs w:val="28"/>
          <w:shd w:val="clear" w:color="auto" w:fill="FFFFFF"/>
        </w:rPr>
        <w:t>(2018) 12 SCC 471</w:t>
      </w:r>
    </w:p>
    <w:p w14:paraId="7A059AD3"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Board of Control for Cricket in </w:t>
      </w:r>
      <w:hyperlink r:id="rId12" w:history="1">
        <w:r w:rsidRPr="00FE4953">
          <w:rPr>
            <w:rStyle w:val="Hyperlink"/>
            <w:color w:val="auto"/>
            <w:sz w:val="28"/>
            <w:szCs w:val="28"/>
          </w:rPr>
          <w:t xml:space="preserve">India (BCCI) vs. Kochi Cricket </w:t>
        </w:r>
        <w:proofErr w:type="spellStart"/>
        <w:r w:rsidRPr="00FE4953">
          <w:rPr>
            <w:rStyle w:val="Hyperlink"/>
            <w:color w:val="auto"/>
            <w:sz w:val="28"/>
            <w:szCs w:val="28"/>
          </w:rPr>
          <w:t>Pvt.</w:t>
        </w:r>
        <w:proofErr w:type="spellEnd"/>
        <w:r w:rsidRPr="00FE4953">
          <w:rPr>
            <w:rStyle w:val="Hyperlink"/>
            <w:color w:val="auto"/>
            <w:sz w:val="28"/>
            <w:szCs w:val="28"/>
          </w:rPr>
          <w:t xml:space="preserve"> Ltd</w:t>
        </w:r>
      </w:hyperlink>
      <w:r w:rsidRPr="00FE4953">
        <w:rPr>
          <w:sz w:val="28"/>
          <w:szCs w:val="28"/>
        </w:rPr>
        <w:t>.</w:t>
      </w:r>
    </w:p>
    <w:p w14:paraId="441182FE" w14:textId="77777777" w:rsidR="00FE4953" w:rsidRPr="00FE4953" w:rsidRDefault="00FE4953" w:rsidP="00FE4953">
      <w:pPr>
        <w:pStyle w:val="NormalWeb"/>
        <w:spacing w:line="360" w:lineRule="auto"/>
        <w:ind w:left="720"/>
        <w:jc w:val="both"/>
        <w:rPr>
          <w:sz w:val="28"/>
          <w:szCs w:val="28"/>
        </w:rPr>
      </w:pPr>
      <w:proofErr w:type="gramStart"/>
      <w:r w:rsidRPr="00FE4953">
        <w:rPr>
          <w:sz w:val="28"/>
          <w:szCs w:val="28"/>
        </w:rPr>
        <w:t>and</w:t>
      </w:r>
      <w:proofErr w:type="gramEnd"/>
      <w:r w:rsidRPr="00FE4953">
        <w:rPr>
          <w:sz w:val="28"/>
          <w:szCs w:val="28"/>
        </w:rPr>
        <w:t xml:space="preserve"> others</w:t>
      </w:r>
      <w:r w:rsidRPr="00FE4953">
        <w:rPr>
          <w:sz w:val="28"/>
          <w:szCs w:val="28"/>
          <w:shd w:val="clear" w:color="auto" w:fill="FFFFFF"/>
        </w:rPr>
        <w:t xml:space="preserve"> (2018) 6 SCC 287</w:t>
      </w:r>
    </w:p>
    <w:p w14:paraId="6EDB2B4E"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 </w:t>
      </w:r>
      <w:proofErr w:type="spellStart"/>
      <w:r w:rsidR="00CC55E7">
        <w:fldChar w:fldCharType="begin"/>
      </w:r>
      <w:r w:rsidR="00CC55E7">
        <w:instrText xml:space="preserve"> HYPERLINK "https://indiankanoon.org/doc/86594/" </w:instrText>
      </w:r>
      <w:r w:rsidR="00CC55E7">
        <w:fldChar w:fldCharType="separate"/>
      </w:r>
      <w:r w:rsidRPr="00FE4953">
        <w:rPr>
          <w:rStyle w:val="Hyperlink"/>
          <w:color w:val="auto"/>
          <w:sz w:val="28"/>
          <w:szCs w:val="28"/>
        </w:rPr>
        <w:t>Renusagar</w:t>
      </w:r>
      <w:proofErr w:type="spellEnd"/>
      <w:r w:rsidRPr="00FE4953">
        <w:rPr>
          <w:rStyle w:val="Hyperlink"/>
          <w:color w:val="auto"/>
          <w:sz w:val="28"/>
          <w:szCs w:val="28"/>
        </w:rPr>
        <w:t xml:space="preserve"> Power Co. Ltd. vs. General Electric Co</w:t>
      </w:r>
      <w:r w:rsidR="00CC55E7">
        <w:rPr>
          <w:rStyle w:val="Hyperlink"/>
          <w:color w:val="auto"/>
          <w:sz w:val="28"/>
          <w:szCs w:val="28"/>
        </w:rPr>
        <w:fldChar w:fldCharType="end"/>
      </w:r>
      <w:r w:rsidRPr="00FE4953">
        <w:rPr>
          <w:sz w:val="28"/>
          <w:szCs w:val="28"/>
        </w:rPr>
        <w:t xml:space="preserve">. </w:t>
      </w:r>
      <w:r w:rsidRPr="00FE4953">
        <w:rPr>
          <w:sz w:val="28"/>
          <w:szCs w:val="28"/>
          <w:shd w:val="clear" w:color="auto" w:fill="FFFFFF"/>
        </w:rPr>
        <w:t xml:space="preserve">(1994) </w:t>
      </w:r>
      <w:proofErr w:type="spellStart"/>
      <w:r w:rsidRPr="00FE4953">
        <w:rPr>
          <w:sz w:val="28"/>
          <w:szCs w:val="28"/>
          <w:shd w:val="clear" w:color="auto" w:fill="FFFFFF"/>
        </w:rPr>
        <w:t>Supp</w:t>
      </w:r>
      <w:proofErr w:type="spellEnd"/>
      <w:r w:rsidRPr="00FE4953">
        <w:rPr>
          <w:sz w:val="28"/>
          <w:szCs w:val="28"/>
          <w:shd w:val="clear" w:color="auto" w:fill="FFFFFF"/>
        </w:rPr>
        <w:t xml:space="preserve"> 10 SCC 644</w:t>
      </w:r>
    </w:p>
    <w:p w14:paraId="691931CA"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 xml:space="preserve">ARK Shipping Co. Ltd. vs. CRT Ship Management </w:t>
      </w:r>
      <w:proofErr w:type="spellStart"/>
      <w:r w:rsidRPr="00FE4953">
        <w:rPr>
          <w:sz w:val="28"/>
          <w:szCs w:val="28"/>
        </w:rPr>
        <w:t>Pvt.</w:t>
      </w:r>
      <w:proofErr w:type="spellEnd"/>
      <w:r w:rsidRPr="00FE4953">
        <w:rPr>
          <w:sz w:val="28"/>
          <w:szCs w:val="28"/>
        </w:rPr>
        <w:t xml:space="preserve"> Ltd. </w:t>
      </w:r>
      <w:r w:rsidRPr="00FE4953">
        <w:rPr>
          <w:sz w:val="28"/>
          <w:szCs w:val="28"/>
          <w:shd w:val="clear" w:color="auto" w:fill="FFFFFF"/>
        </w:rPr>
        <w:t xml:space="preserve">2 (2007) SCC Online </w:t>
      </w:r>
      <w:proofErr w:type="spellStart"/>
      <w:r w:rsidRPr="00FE4953">
        <w:rPr>
          <w:sz w:val="28"/>
          <w:szCs w:val="28"/>
          <w:shd w:val="clear" w:color="auto" w:fill="FFFFFF"/>
        </w:rPr>
        <w:t>Bom</w:t>
      </w:r>
      <w:proofErr w:type="spellEnd"/>
      <w:r w:rsidRPr="00FE4953">
        <w:rPr>
          <w:sz w:val="28"/>
          <w:szCs w:val="28"/>
          <w:shd w:val="clear" w:color="auto" w:fill="FFFFFF"/>
        </w:rPr>
        <w:t xml:space="preserve"> 663</w:t>
      </w:r>
    </w:p>
    <w:p w14:paraId="0698064D" w14:textId="77777777" w:rsidR="00FE4953" w:rsidRPr="00FE4953" w:rsidRDefault="004544AF" w:rsidP="00FE4953">
      <w:pPr>
        <w:pStyle w:val="NormalWeb"/>
        <w:numPr>
          <w:ilvl w:val="0"/>
          <w:numId w:val="27"/>
        </w:numPr>
        <w:spacing w:line="360" w:lineRule="auto"/>
        <w:jc w:val="both"/>
        <w:rPr>
          <w:sz w:val="28"/>
          <w:szCs w:val="28"/>
          <w:shd w:val="clear" w:color="auto" w:fill="FFFFFF"/>
        </w:rPr>
      </w:pPr>
      <w:hyperlink r:id="rId13" w:history="1">
        <w:r w:rsidR="00FE4953" w:rsidRPr="00FE4953">
          <w:rPr>
            <w:rStyle w:val="Hyperlink"/>
            <w:color w:val="auto"/>
            <w:sz w:val="28"/>
            <w:szCs w:val="28"/>
          </w:rPr>
          <w:t xml:space="preserve">POL India Project Ltd. vs. Aurelia </w:t>
        </w:r>
        <w:proofErr w:type="spellStart"/>
        <w:r w:rsidR="00FE4953" w:rsidRPr="00FE4953">
          <w:rPr>
            <w:rStyle w:val="Hyperlink"/>
            <w:color w:val="auto"/>
            <w:sz w:val="28"/>
            <w:szCs w:val="28"/>
          </w:rPr>
          <w:t>Reederei</w:t>
        </w:r>
        <w:proofErr w:type="spellEnd"/>
        <w:r w:rsidR="00FE4953" w:rsidRPr="00FE4953">
          <w:rPr>
            <w:rStyle w:val="Hyperlink"/>
            <w:color w:val="auto"/>
            <w:sz w:val="28"/>
            <w:szCs w:val="28"/>
          </w:rPr>
          <w:t xml:space="preserve"> </w:t>
        </w:r>
        <w:proofErr w:type="spellStart"/>
        <w:r w:rsidR="00FE4953" w:rsidRPr="00FE4953">
          <w:rPr>
            <w:rStyle w:val="Hyperlink"/>
            <w:color w:val="auto"/>
            <w:sz w:val="28"/>
            <w:szCs w:val="28"/>
          </w:rPr>
          <w:t>Eugen</w:t>
        </w:r>
        <w:proofErr w:type="spellEnd"/>
        <w:r w:rsidR="00FE4953" w:rsidRPr="00FE4953">
          <w:rPr>
            <w:rStyle w:val="Hyperlink"/>
            <w:color w:val="auto"/>
            <w:sz w:val="28"/>
            <w:szCs w:val="28"/>
          </w:rPr>
          <w:t xml:space="preserve"> </w:t>
        </w:r>
        <w:proofErr w:type="spellStart"/>
        <w:r w:rsidR="00FE4953" w:rsidRPr="00FE4953">
          <w:rPr>
            <w:rStyle w:val="Hyperlink"/>
            <w:color w:val="auto"/>
            <w:sz w:val="28"/>
            <w:szCs w:val="28"/>
          </w:rPr>
          <w:t>Friederich</w:t>
        </w:r>
        <w:proofErr w:type="spellEnd"/>
        <w:r w:rsidR="00FE4953" w:rsidRPr="00FE4953">
          <w:rPr>
            <w:rStyle w:val="Hyperlink"/>
            <w:color w:val="auto"/>
            <w:sz w:val="28"/>
            <w:szCs w:val="28"/>
          </w:rPr>
          <w:t xml:space="preserve"> GmbH</w:t>
        </w:r>
      </w:hyperlink>
      <w:r w:rsidR="00FE4953" w:rsidRPr="00FE4953">
        <w:rPr>
          <w:sz w:val="28"/>
          <w:szCs w:val="28"/>
        </w:rPr>
        <w:t xml:space="preserve">. </w:t>
      </w:r>
      <w:r w:rsidR="00FE4953" w:rsidRPr="00FE4953">
        <w:rPr>
          <w:sz w:val="28"/>
          <w:szCs w:val="28"/>
          <w:shd w:val="clear" w:color="auto" w:fill="FFFFFF"/>
        </w:rPr>
        <w:t xml:space="preserve"> ARBP/76/2012 WITH ARBP/12/2012 (BHC) </w:t>
      </w:r>
    </w:p>
    <w:p w14:paraId="11366B60"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 xml:space="preserve">PT First Media TBK vs. </w:t>
      </w:r>
      <w:proofErr w:type="spellStart"/>
      <w:r w:rsidRPr="00FE4953">
        <w:rPr>
          <w:sz w:val="28"/>
          <w:szCs w:val="28"/>
        </w:rPr>
        <w:t>Astro</w:t>
      </w:r>
      <w:proofErr w:type="spellEnd"/>
      <w:r w:rsidRPr="00FE4953">
        <w:rPr>
          <w:sz w:val="28"/>
          <w:szCs w:val="28"/>
        </w:rPr>
        <w:t xml:space="preserve"> </w:t>
      </w:r>
      <w:proofErr w:type="spellStart"/>
      <w:r w:rsidRPr="00FE4953">
        <w:rPr>
          <w:sz w:val="28"/>
          <w:szCs w:val="28"/>
        </w:rPr>
        <w:t>Nausantara</w:t>
      </w:r>
      <w:proofErr w:type="spellEnd"/>
      <w:r w:rsidRPr="00FE4953">
        <w:rPr>
          <w:sz w:val="28"/>
          <w:szCs w:val="28"/>
        </w:rPr>
        <w:t xml:space="preserve"> International B V. 1 (2014) 1 SLR 372</w:t>
      </w:r>
    </w:p>
    <w:p w14:paraId="6FC20C93" w14:textId="77777777" w:rsidR="00FE4953" w:rsidRPr="00FE4953" w:rsidRDefault="00FE4953" w:rsidP="00FE4953">
      <w:pPr>
        <w:pStyle w:val="NormalWeb"/>
        <w:numPr>
          <w:ilvl w:val="0"/>
          <w:numId w:val="27"/>
        </w:numPr>
        <w:spacing w:line="360" w:lineRule="auto"/>
        <w:jc w:val="both"/>
        <w:rPr>
          <w:sz w:val="28"/>
          <w:szCs w:val="28"/>
        </w:rPr>
      </w:pPr>
      <w:proofErr w:type="spellStart"/>
      <w:r w:rsidRPr="00FE4953">
        <w:rPr>
          <w:sz w:val="28"/>
          <w:szCs w:val="28"/>
        </w:rPr>
        <w:t>Dallah</w:t>
      </w:r>
      <w:proofErr w:type="spellEnd"/>
      <w:r w:rsidRPr="00FE4953">
        <w:rPr>
          <w:sz w:val="28"/>
          <w:szCs w:val="28"/>
        </w:rPr>
        <w:t xml:space="preserve"> Real Estate and Tourism Holding Company vs. </w:t>
      </w:r>
      <w:proofErr w:type="gramStart"/>
      <w:r w:rsidRPr="00FE4953">
        <w:rPr>
          <w:sz w:val="28"/>
          <w:szCs w:val="28"/>
        </w:rPr>
        <w:t>The</w:t>
      </w:r>
      <w:proofErr w:type="gramEnd"/>
      <w:r w:rsidRPr="00FE4953">
        <w:rPr>
          <w:sz w:val="28"/>
          <w:szCs w:val="28"/>
        </w:rPr>
        <w:t xml:space="preserve"> Ministry of Religious Affairs, Govt. of Pakistan.  (2010) 2 WLR 805.</w:t>
      </w:r>
    </w:p>
    <w:p w14:paraId="02696748"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 xml:space="preserve">Westlaw India </w:t>
      </w:r>
      <w:proofErr w:type="spellStart"/>
      <w:r w:rsidRPr="00FE4953">
        <w:rPr>
          <w:sz w:val="28"/>
          <w:szCs w:val="28"/>
        </w:rPr>
        <w:t>Gbangbola</w:t>
      </w:r>
      <w:proofErr w:type="spellEnd"/>
      <w:r w:rsidRPr="00FE4953">
        <w:rPr>
          <w:sz w:val="28"/>
          <w:szCs w:val="28"/>
        </w:rPr>
        <w:t xml:space="preserve"> vs. </w:t>
      </w:r>
      <w:proofErr w:type="spellStart"/>
      <w:r w:rsidRPr="00FE4953">
        <w:rPr>
          <w:sz w:val="28"/>
          <w:szCs w:val="28"/>
        </w:rPr>
        <w:t>Smit</w:t>
      </w:r>
      <w:proofErr w:type="spellEnd"/>
      <w:r w:rsidRPr="00FE4953">
        <w:rPr>
          <w:sz w:val="28"/>
          <w:szCs w:val="28"/>
        </w:rPr>
        <w:t xml:space="preserve"> and </w:t>
      </w:r>
      <w:proofErr w:type="spellStart"/>
      <w:r w:rsidRPr="00FE4953">
        <w:rPr>
          <w:sz w:val="28"/>
          <w:szCs w:val="28"/>
        </w:rPr>
        <w:t>Sherrif</w:t>
      </w:r>
      <w:proofErr w:type="spellEnd"/>
      <w:r w:rsidRPr="00FE4953">
        <w:rPr>
          <w:sz w:val="28"/>
          <w:szCs w:val="28"/>
        </w:rPr>
        <w:t xml:space="preserve">  (1999) 1 T.C.L.R. 136</w:t>
      </w:r>
    </w:p>
    <w:p w14:paraId="20ABDCA5" w14:textId="77777777" w:rsidR="00FE4953" w:rsidRPr="00FE4953" w:rsidRDefault="00FE4953" w:rsidP="00FE4953">
      <w:pPr>
        <w:pStyle w:val="NormalWeb"/>
        <w:numPr>
          <w:ilvl w:val="0"/>
          <w:numId w:val="27"/>
        </w:numPr>
        <w:spacing w:line="360" w:lineRule="auto"/>
        <w:jc w:val="both"/>
        <w:rPr>
          <w:sz w:val="28"/>
          <w:szCs w:val="28"/>
        </w:rPr>
      </w:pPr>
      <w:proofErr w:type="spellStart"/>
      <w:r w:rsidRPr="00FE4953">
        <w:rPr>
          <w:sz w:val="28"/>
          <w:szCs w:val="28"/>
        </w:rPr>
        <w:t>Malicorp</w:t>
      </w:r>
      <w:proofErr w:type="spellEnd"/>
      <w:r w:rsidRPr="00FE4953">
        <w:rPr>
          <w:sz w:val="28"/>
          <w:szCs w:val="28"/>
        </w:rPr>
        <w:t xml:space="preserve"> Ltd. vs. Government of Arab Republic of Egypt. [2015]EWHC 361 (</w:t>
      </w:r>
      <w:proofErr w:type="spellStart"/>
      <w:r w:rsidRPr="00FE4953">
        <w:rPr>
          <w:sz w:val="28"/>
          <w:szCs w:val="28"/>
        </w:rPr>
        <w:t>Comm</w:t>
      </w:r>
      <w:proofErr w:type="spellEnd"/>
      <w:r w:rsidRPr="00FE4953">
        <w:rPr>
          <w:sz w:val="28"/>
          <w:szCs w:val="28"/>
        </w:rPr>
        <w:t>)</w:t>
      </w:r>
    </w:p>
    <w:p w14:paraId="7C3C7537"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 xml:space="preserve">Annie Fox and </w:t>
      </w:r>
      <w:proofErr w:type="spellStart"/>
      <w:r w:rsidRPr="00FE4953">
        <w:rPr>
          <w:sz w:val="28"/>
          <w:szCs w:val="28"/>
        </w:rPr>
        <w:t>Ors</w:t>
      </w:r>
      <w:proofErr w:type="spellEnd"/>
      <w:r w:rsidRPr="00FE4953">
        <w:rPr>
          <w:sz w:val="28"/>
          <w:szCs w:val="28"/>
        </w:rPr>
        <w:t xml:space="preserve">. &amp; Philip Fisher and </w:t>
      </w:r>
      <w:proofErr w:type="spellStart"/>
      <w:r w:rsidRPr="00FE4953">
        <w:rPr>
          <w:sz w:val="28"/>
          <w:szCs w:val="28"/>
        </w:rPr>
        <w:t>Anr</w:t>
      </w:r>
      <w:proofErr w:type="spellEnd"/>
      <w:r w:rsidRPr="00FE4953">
        <w:rPr>
          <w:sz w:val="28"/>
          <w:szCs w:val="28"/>
        </w:rPr>
        <w:t xml:space="preserve">. </w:t>
      </w:r>
      <w:proofErr w:type="gramStart"/>
      <w:r w:rsidRPr="00FE4953">
        <w:rPr>
          <w:sz w:val="28"/>
          <w:szCs w:val="28"/>
        </w:rPr>
        <w:t>vs</w:t>
      </w:r>
      <w:proofErr w:type="gramEnd"/>
      <w:r w:rsidRPr="00FE4953">
        <w:rPr>
          <w:sz w:val="28"/>
          <w:szCs w:val="28"/>
        </w:rPr>
        <w:t xml:space="preserve">. </w:t>
      </w:r>
      <w:proofErr w:type="spellStart"/>
      <w:r w:rsidRPr="00FE4953">
        <w:rPr>
          <w:sz w:val="28"/>
          <w:szCs w:val="28"/>
        </w:rPr>
        <w:t>Wellfair</w:t>
      </w:r>
      <w:proofErr w:type="spellEnd"/>
      <w:r w:rsidRPr="00FE4953">
        <w:rPr>
          <w:sz w:val="28"/>
          <w:szCs w:val="28"/>
        </w:rPr>
        <w:t xml:space="preserve"> Limited.  1981 WL 186914</w:t>
      </w:r>
    </w:p>
    <w:p w14:paraId="3669B691"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 xml:space="preserve"> Front Row Investment Holdings (Singapore) vs. Daimler South East Asia Pre. [2010] SGHC 80</w:t>
      </w:r>
    </w:p>
    <w:p w14:paraId="108DAE9F" w14:textId="77777777" w:rsidR="00FE4953" w:rsidRPr="00FE4953" w:rsidRDefault="004544AF" w:rsidP="00FE4953">
      <w:pPr>
        <w:pStyle w:val="NormalWeb"/>
        <w:numPr>
          <w:ilvl w:val="0"/>
          <w:numId w:val="27"/>
        </w:numPr>
        <w:spacing w:line="360" w:lineRule="auto"/>
        <w:jc w:val="both"/>
        <w:rPr>
          <w:sz w:val="28"/>
          <w:szCs w:val="28"/>
        </w:rPr>
      </w:pPr>
      <w:hyperlink r:id="rId14" w:history="1">
        <w:proofErr w:type="spellStart"/>
        <w:r w:rsidR="00FE4953" w:rsidRPr="00FE4953">
          <w:rPr>
            <w:rStyle w:val="Hyperlink"/>
            <w:color w:val="auto"/>
            <w:sz w:val="28"/>
            <w:szCs w:val="28"/>
          </w:rPr>
          <w:t>Vikram</w:t>
        </w:r>
        <w:proofErr w:type="spellEnd"/>
        <w:r w:rsidR="00FE4953" w:rsidRPr="00FE4953">
          <w:rPr>
            <w:rStyle w:val="Hyperlink"/>
            <w:color w:val="auto"/>
            <w:sz w:val="28"/>
            <w:szCs w:val="28"/>
          </w:rPr>
          <w:t xml:space="preserve"> </w:t>
        </w:r>
        <w:proofErr w:type="spellStart"/>
        <w:r w:rsidR="00FE4953" w:rsidRPr="00FE4953">
          <w:rPr>
            <w:rStyle w:val="Hyperlink"/>
            <w:color w:val="auto"/>
            <w:sz w:val="28"/>
            <w:szCs w:val="28"/>
          </w:rPr>
          <w:t>Greentech</w:t>
        </w:r>
        <w:proofErr w:type="spellEnd"/>
        <w:r w:rsidR="00FE4953" w:rsidRPr="00FE4953">
          <w:rPr>
            <w:rStyle w:val="Hyperlink"/>
            <w:color w:val="auto"/>
            <w:sz w:val="28"/>
            <w:szCs w:val="28"/>
          </w:rPr>
          <w:t xml:space="preserve"> India Limited vs. New India Assurance Company Ltd</w:t>
        </w:r>
      </w:hyperlink>
      <w:r w:rsidR="00FE4953" w:rsidRPr="00FE4953">
        <w:rPr>
          <w:sz w:val="28"/>
          <w:szCs w:val="28"/>
        </w:rPr>
        <w:t>.  (2009) 5 SCC 599</w:t>
      </w:r>
    </w:p>
    <w:p w14:paraId="2670CA5A"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 xml:space="preserve"> National Highways Authority of India vs. </w:t>
      </w:r>
      <w:proofErr w:type="spellStart"/>
      <w:r w:rsidRPr="00FE4953">
        <w:rPr>
          <w:sz w:val="28"/>
          <w:szCs w:val="28"/>
        </w:rPr>
        <w:t>Som</w:t>
      </w:r>
      <w:proofErr w:type="spellEnd"/>
      <w:r w:rsidRPr="00FE4953">
        <w:rPr>
          <w:sz w:val="28"/>
          <w:szCs w:val="28"/>
        </w:rPr>
        <w:t xml:space="preserve"> </w:t>
      </w:r>
      <w:proofErr w:type="spellStart"/>
      <w:r w:rsidRPr="00FE4953">
        <w:rPr>
          <w:sz w:val="28"/>
          <w:szCs w:val="28"/>
        </w:rPr>
        <w:t>Datt</w:t>
      </w:r>
      <w:proofErr w:type="spellEnd"/>
      <w:r w:rsidRPr="00FE4953">
        <w:rPr>
          <w:sz w:val="28"/>
          <w:szCs w:val="28"/>
        </w:rPr>
        <w:t xml:space="preserve"> Builders 8NCC-NEC (JV)</w:t>
      </w:r>
    </w:p>
    <w:p w14:paraId="500FA833"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 xml:space="preserve"> FAO(OS) no.427 of 2007 Del HC</w:t>
      </w:r>
    </w:p>
    <w:p w14:paraId="03B48DA3" w14:textId="77777777" w:rsidR="00FE4953" w:rsidRPr="00FE4953" w:rsidRDefault="004544AF" w:rsidP="00FE4953">
      <w:pPr>
        <w:pStyle w:val="NormalWeb"/>
        <w:numPr>
          <w:ilvl w:val="0"/>
          <w:numId w:val="27"/>
        </w:numPr>
        <w:spacing w:line="360" w:lineRule="auto"/>
        <w:jc w:val="both"/>
        <w:rPr>
          <w:sz w:val="28"/>
          <w:szCs w:val="28"/>
        </w:rPr>
      </w:pPr>
      <w:hyperlink r:id="rId15" w:history="1">
        <w:r w:rsidR="00FE4953" w:rsidRPr="00FE4953">
          <w:rPr>
            <w:rStyle w:val="Hyperlink"/>
            <w:color w:val="auto"/>
            <w:sz w:val="28"/>
            <w:szCs w:val="28"/>
          </w:rPr>
          <w:t xml:space="preserve">Oil and Natural Gas Corporation Ltd. vs. Western </w:t>
        </w:r>
        <w:proofErr w:type="spellStart"/>
        <w:r w:rsidR="00FE4953" w:rsidRPr="00FE4953">
          <w:rPr>
            <w:rStyle w:val="Hyperlink"/>
            <w:color w:val="auto"/>
            <w:sz w:val="28"/>
            <w:szCs w:val="28"/>
          </w:rPr>
          <w:t>Geco</w:t>
        </w:r>
        <w:proofErr w:type="spellEnd"/>
        <w:r w:rsidR="00FE4953" w:rsidRPr="00FE4953">
          <w:rPr>
            <w:rStyle w:val="Hyperlink"/>
            <w:color w:val="auto"/>
            <w:sz w:val="28"/>
            <w:szCs w:val="28"/>
          </w:rPr>
          <w:t xml:space="preserve"> International Limited</w:t>
        </w:r>
      </w:hyperlink>
      <w:r w:rsidR="00FE4953" w:rsidRPr="00FE4953">
        <w:rPr>
          <w:sz w:val="28"/>
          <w:szCs w:val="28"/>
        </w:rPr>
        <w:t>.  (2014) 9 SCC 263</w:t>
      </w:r>
    </w:p>
    <w:p w14:paraId="40AA6947" w14:textId="77777777" w:rsidR="00FE4953" w:rsidRPr="00FE4953" w:rsidRDefault="00FE4953" w:rsidP="00FE4953">
      <w:pPr>
        <w:pStyle w:val="NormalWeb"/>
        <w:numPr>
          <w:ilvl w:val="0"/>
          <w:numId w:val="27"/>
        </w:numPr>
        <w:spacing w:line="360" w:lineRule="auto"/>
        <w:jc w:val="both"/>
        <w:rPr>
          <w:sz w:val="28"/>
          <w:szCs w:val="28"/>
        </w:rPr>
      </w:pPr>
      <w:r w:rsidRPr="00FE4953">
        <w:rPr>
          <w:sz w:val="28"/>
          <w:szCs w:val="28"/>
        </w:rPr>
        <w:t> </w:t>
      </w:r>
      <w:hyperlink r:id="rId16" w:history="1">
        <w:r w:rsidRPr="00FE4953">
          <w:rPr>
            <w:rStyle w:val="Hyperlink"/>
            <w:color w:val="auto"/>
            <w:sz w:val="28"/>
            <w:szCs w:val="28"/>
          </w:rPr>
          <w:t>Associate Builders vs. Delhi Development Authority</w:t>
        </w:r>
      </w:hyperlink>
      <w:r w:rsidRPr="00FE4953">
        <w:rPr>
          <w:sz w:val="28"/>
          <w:szCs w:val="28"/>
        </w:rPr>
        <w:t>    10 (2015) 3 SCC 49 </w:t>
      </w:r>
    </w:p>
    <w:p w14:paraId="64959212" w14:textId="77777777" w:rsidR="00FE4953" w:rsidRPr="00FE4953" w:rsidRDefault="00FE4953" w:rsidP="00FE4953">
      <w:pPr>
        <w:spacing w:line="360" w:lineRule="auto"/>
        <w:ind w:left="360"/>
        <w:jc w:val="both"/>
        <w:rPr>
          <w:rFonts w:ascii="Times New Roman" w:hAnsi="Times New Roman" w:cs="Times New Roman"/>
          <w:sz w:val="28"/>
          <w:szCs w:val="28"/>
        </w:rPr>
      </w:pPr>
    </w:p>
    <w:p w14:paraId="5911AF1A" w14:textId="77777777" w:rsidR="00FE4953" w:rsidRPr="00FE4953" w:rsidRDefault="00FE4953" w:rsidP="00FE4953">
      <w:pPr>
        <w:spacing w:line="360" w:lineRule="auto"/>
        <w:jc w:val="both"/>
        <w:rPr>
          <w:rFonts w:ascii="Times New Roman" w:hAnsi="Times New Roman" w:cs="Times New Roman"/>
          <w:sz w:val="28"/>
          <w:szCs w:val="28"/>
        </w:rPr>
      </w:pPr>
    </w:p>
    <w:p w14:paraId="410F9826" w14:textId="7AB14A2A" w:rsidR="00782A31" w:rsidRPr="00FE4953" w:rsidRDefault="00782A31" w:rsidP="008D57C7">
      <w:pPr>
        <w:spacing w:line="480" w:lineRule="auto"/>
        <w:rPr>
          <w:rFonts w:ascii="Bookman Old Style" w:hAnsi="Bookman Old Style" w:cs="Times New Roman"/>
          <w:b/>
          <w:caps/>
          <w:sz w:val="24"/>
          <w:szCs w:val="24"/>
        </w:rPr>
      </w:pPr>
    </w:p>
    <w:p w14:paraId="44B3A342" w14:textId="77777777" w:rsidR="0031306A" w:rsidRPr="00FE4953" w:rsidRDefault="0031306A" w:rsidP="00BB002C">
      <w:pPr>
        <w:jc w:val="both"/>
        <w:rPr>
          <w:rFonts w:ascii="Bookman Old Style" w:hAnsi="Bookman Old Style" w:cs="Times New Roman"/>
          <w:b/>
          <w:caps/>
          <w:sz w:val="24"/>
          <w:szCs w:val="24"/>
        </w:rPr>
      </w:pPr>
    </w:p>
    <w:p w14:paraId="6563CB5C" w14:textId="77777777" w:rsidR="00CC009C" w:rsidRPr="00FE4953" w:rsidRDefault="00CC009C" w:rsidP="00BB002C">
      <w:pPr>
        <w:jc w:val="both"/>
        <w:rPr>
          <w:rFonts w:ascii="Bookman Old Style" w:hAnsi="Bookman Old Style" w:cs="Times New Roman"/>
          <w:b/>
          <w:caps/>
          <w:sz w:val="24"/>
          <w:szCs w:val="24"/>
        </w:rPr>
      </w:pPr>
    </w:p>
    <w:p w14:paraId="407D82DB" w14:textId="77777777" w:rsidR="00CC009C" w:rsidRPr="00FE4953" w:rsidRDefault="00CC009C" w:rsidP="00BB002C">
      <w:pPr>
        <w:jc w:val="both"/>
        <w:rPr>
          <w:rFonts w:ascii="Bookman Old Style" w:hAnsi="Bookman Old Style" w:cs="Times New Roman"/>
          <w:b/>
          <w:caps/>
          <w:sz w:val="24"/>
          <w:szCs w:val="24"/>
        </w:rPr>
      </w:pPr>
    </w:p>
    <w:p w14:paraId="2A11DDC2" w14:textId="77777777" w:rsidR="00CC009C" w:rsidRPr="00FE4953" w:rsidRDefault="00CC009C" w:rsidP="00BB002C">
      <w:pPr>
        <w:jc w:val="both"/>
        <w:rPr>
          <w:rFonts w:ascii="Bookman Old Style" w:hAnsi="Bookman Old Style" w:cs="Times New Roman"/>
          <w:b/>
          <w:caps/>
          <w:sz w:val="24"/>
          <w:szCs w:val="24"/>
        </w:rPr>
      </w:pPr>
    </w:p>
    <w:p w14:paraId="0A7518EC" w14:textId="77777777" w:rsidR="00CC009C" w:rsidRPr="00FE4953" w:rsidRDefault="00CC009C" w:rsidP="00BB002C">
      <w:pPr>
        <w:jc w:val="both"/>
        <w:rPr>
          <w:rFonts w:ascii="Bookman Old Style" w:hAnsi="Bookman Old Style" w:cs="Times New Roman"/>
          <w:b/>
          <w:caps/>
          <w:sz w:val="24"/>
          <w:szCs w:val="24"/>
        </w:rPr>
      </w:pPr>
    </w:p>
    <w:p w14:paraId="4949C71D" w14:textId="77777777" w:rsidR="00CC009C" w:rsidRPr="00FE4953" w:rsidRDefault="00CC009C" w:rsidP="00BB002C">
      <w:pPr>
        <w:jc w:val="both"/>
        <w:rPr>
          <w:rFonts w:ascii="Bookman Old Style" w:hAnsi="Bookman Old Style" w:cs="Times New Roman"/>
          <w:b/>
          <w:caps/>
          <w:sz w:val="24"/>
          <w:szCs w:val="24"/>
        </w:rPr>
      </w:pPr>
    </w:p>
    <w:p w14:paraId="2E6871E9" w14:textId="77777777" w:rsidR="00CC009C" w:rsidRPr="00FE4953" w:rsidRDefault="00CC009C" w:rsidP="00BB002C">
      <w:pPr>
        <w:jc w:val="both"/>
        <w:rPr>
          <w:rFonts w:ascii="Bookman Old Style" w:hAnsi="Bookman Old Style" w:cs="Times New Roman"/>
          <w:b/>
          <w:caps/>
          <w:sz w:val="24"/>
          <w:szCs w:val="24"/>
        </w:rPr>
      </w:pPr>
    </w:p>
    <w:p w14:paraId="77E6D155" w14:textId="77777777" w:rsidR="00CC009C" w:rsidRPr="00FE4953" w:rsidRDefault="00CC009C" w:rsidP="00BB002C">
      <w:pPr>
        <w:jc w:val="both"/>
        <w:rPr>
          <w:rFonts w:ascii="Bookman Old Style" w:hAnsi="Bookman Old Style" w:cs="Times New Roman"/>
          <w:b/>
          <w:caps/>
          <w:sz w:val="24"/>
          <w:szCs w:val="24"/>
        </w:rPr>
      </w:pPr>
    </w:p>
    <w:p w14:paraId="6CF993FA" w14:textId="77777777" w:rsidR="00CC009C" w:rsidRPr="00FE4953" w:rsidRDefault="00CC009C" w:rsidP="00BB002C">
      <w:pPr>
        <w:jc w:val="both"/>
        <w:rPr>
          <w:rFonts w:ascii="Bookman Old Style" w:hAnsi="Bookman Old Style" w:cs="Times New Roman"/>
          <w:b/>
          <w:caps/>
          <w:sz w:val="24"/>
          <w:szCs w:val="24"/>
        </w:rPr>
      </w:pPr>
    </w:p>
    <w:p w14:paraId="3DAEBF74" w14:textId="77777777" w:rsidR="00CC009C" w:rsidRPr="00FE4953" w:rsidRDefault="00CC009C" w:rsidP="00BB002C">
      <w:pPr>
        <w:jc w:val="both"/>
        <w:rPr>
          <w:rFonts w:ascii="Bookman Old Style" w:hAnsi="Bookman Old Style" w:cs="Times New Roman"/>
          <w:b/>
          <w:caps/>
          <w:sz w:val="24"/>
          <w:szCs w:val="24"/>
        </w:rPr>
      </w:pPr>
    </w:p>
    <w:p w14:paraId="73F392B0" w14:textId="77777777" w:rsidR="00CC009C" w:rsidRPr="00FE4953" w:rsidRDefault="00CC009C" w:rsidP="00BB002C">
      <w:pPr>
        <w:jc w:val="both"/>
        <w:rPr>
          <w:rFonts w:ascii="Bookman Old Style" w:hAnsi="Bookman Old Style" w:cs="Times New Roman"/>
          <w:b/>
          <w:caps/>
          <w:sz w:val="24"/>
          <w:szCs w:val="24"/>
        </w:rPr>
      </w:pPr>
    </w:p>
    <w:p w14:paraId="624F6A10" w14:textId="77777777" w:rsidR="00CC009C" w:rsidRPr="00FE4953" w:rsidRDefault="00CC009C" w:rsidP="00BB002C">
      <w:pPr>
        <w:jc w:val="both"/>
        <w:rPr>
          <w:rFonts w:ascii="Bookman Old Style" w:hAnsi="Bookman Old Style" w:cs="Times New Roman"/>
          <w:b/>
          <w:caps/>
          <w:sz w:val="24"/>
          <w:szCs w:val="24"/>
        </w:rPr>
      </w:pPr>
    </w:p>
    <w:p w14:paraId="1BA4D908" w14:textId="77777777" w:rsidR="00CC009C" w:rsidRPr="00FE4953" w:rsidRDefault="00CC009C" w:rsidP="00BB002C">
      <w:pPr>
        <w:jc w:val="both"/>
        <w:rPr>
          <w:rFonts w:ascii="Bookman Old Style" w:hAnsi="Bookman Old Style" w:cs="Times New Roman"/>
          <w:b/>
          <w:caps/>
          <w:sz w:val="24"/>
          <w:szCs w:val="24"/>
        </w:rPr>
      </w:pPr>
    </w:p>
    <w:p w14:paraId="1E26CCFE" w14:textId="77777777" w:rsidR="00CC009C" w:rsidRPr="00FE4953" w:rsidRDefault="00CC009C" w:rsidP="00BB002C">
      <w:pPr>
        <w:jc w:val="both"/>
        <w:rPr>
          <w:rFonts w:ascii="Bookman Old Style" w:hAnsi="Bookman Old Style" w:cs="Times New Roman"/>
          <w:b/>
          <w:caps/>
          <w:sz w:val="24"/>
          <w:szCs w:val="24"/>
        </w:rPr>
      </w:pPr>
    </w:p>
    <w:p w14:paraId="5192F1E2" w14:textId="77777777" w:rsidR="00CC009C" w:rsidRPr="00FE4953" w:rsidRDefault="00CC009C" w:rsidP="00BB002C">
      <w:pPr>
        <w:jc w:val="both"/>
        <w:rPr>
          <w:rFonts w:ascii="Bookman Old Style" w:hAnsi="Bookman Old Style" w:cs="Times New Roman"/>
          <w:b/>
          <w:caps/>
          <w:sz w:val="24"/>
          <w:szCs w:val="24"/>
        </w:rPr>
      </w:pPr>
    </w:p>
    <w:p w14:paraId="0D563B21" w14:textId="77777777" w:rsidR="00CC009C" w:rsidRPr="00FE4953" w:rsidRDefault="00CC009C" w:rsidP="00BB002C">
      <w:pPr>
        <w:jc w:val="both"/>
        <w:rPr>
          <w:rFonts w:ascii="Bookman Old Style" w:hAnsi="Bookman Old Style" w:cs="Times New Roman"/>
          <w:b/>
          <w:caps/>
          <w:sz w:val="24"/>
          <w:szCs w:val="24"/>
        </w:rPr>
      </w:pPr>
    </w:p>
    <w:p w14:paraId="4027142A" w14:textId="77777777" w:rsidR="00CC009C" w:rsidRPr="00FE4953" w:rsidRDefault="00CC009C" w:rsidP="00BB002C">
      <w:pPr>
        <w:jc w:val="both"/>
        <w:rPr>
          <w:rFonts w:ascii="Bookman Old Style" w:hAnsi="Bookman Old Style" w:cs="Times New Roman"/>
          <w:b/>
          <w:caps/>
          <w:sz w:val="24"/>
          <w:szCs w:val="24"/>
        </w:rPr>
      </w:pPr>
    </w:p>
    <w:p w14:paraId="363D6B6C" w14:textId="77777777" w:rsidR="00CC009C" w:rsidRPr="00FE4953" w:rsidRDefault="00CC009C" w:rsidP="00BB002C">
      <w:pPr>
        <w:jc w:val="both"/>
        <w:rPr>
          <w:rFonts w:ascii="Bookman Old Style" w:hAnsi="Bookman Old Style" w:cs="Times New Roman"/>
          <w:b/>
          <w:caps/>
          <w:sz w:val="24"/>
          <w:szCs w:val="24"/>
        </w:rPr>
      </w:pPr>
    </w:p>
    <w:p w14:paraId="6D4ED1BE" w14:textId="77777777" w:rsidR="00CC009C" w:rsidRPr="00FE4953" w:rsidRDefault="00CC009C" w:rsidP="00BB002C">
      <w:pPr>
        <w:jc w:val="both"/>
        <w:rPr>
          <w:rFonts w:ascii="Bookman Old Style" w:hAnsi="Bookman Old Style" w:cs="Times New Roman"/>
          <w:b/>
          <w:caps/>
          <w:sz w:val="24"/>
          <w:szCs w:val="24"/>
        </w:rPr>
      </w:pPr>
    </w:p>
    <w:p w14:paraId="3F180F03" w14:textId="77777777" w:rsidR="00AA53A3" w:rsidRDefault="00AA53A3" w:rsidP="00D60F56">
      <w:pPr>
        <w:spacing w:line="360" w:lineRule="auto"/>
        <w:rPr>
          <w:rFonts w:ascii="Bookman Old Style" w:hAnsi="Bookman Old Style" w:cs="Times New Roman"/>
          <w:b/>
          <w:caps/>
          <w:sz w:val="24"/>
          <w:szCs w:val="24"/>
        </w:rPr>
      </w:pPr>
    </w:p>
    <w:p w14:paraId="1904C8A0" w14:textId="77777777" w:rsidR="00AA53A3" w:rsidRDefault="00AA53A3" w:rsidP="00D60F56">
      <w:pPr>
        <w:spacing w:line="360" w:lineRule="auto"/>
        <w:rPr>
          <w:rFonts w:ascii="Bookman Old Style" w:hAnsi="Bookman Old Style" w:cs="Times New Roman"/>
          <w:b/>
          <w:caps/>
          <w:sz w:val="24"/>
          <w:szCs w:val="24"/>
        </w:rPr>
      </w:pPr>
    </w:p>
    <w:p w14:paraId="2DD295D6" w14:textId="58A54E8F" w:rsidR="00D60F56" w:rsidRPr="00FE4953" w:rsidRDefault="00D60F56" w:rsidP="00D60F56">
      <w:pPr>
        <w:spacing w:line="360" w:lineRule="auto"/>
        <w:rPr>
          <w:rFonts w:ascii="Bookman Old Style" w:hAnsi="Bookman Old Style" w:cs="Times New Roman"/>
          <w:b/>
          <w:bCs/>
          <w:caps/>
          <w:sz w:val="24"/>
          <w:szCs w:val="24"/>
        </w:rPr>
      </w:pPr>
      <w:r w:rsidRPr="00FE4953">
        <w:rPr>
          <w:rFonts w:ascii="Bookman Old Style" w:hAnsi="Bookman Old Style" w:cs="Times New Roman"/>
          <w:b/>
          <w:bCs/>
          <w:caps/>
          <w:sz w:val="24"/>
          <w:szCs w:val="24"/>
        </w:rPr>
        <w:lastRenderedPageBreak/>
        <w:t>Bibliography</w:t>
      </w:r>
      <w:r w:rsidR="00627CEF" w:rsidRPr="00FE4953">
        <w:rPr>
          <w:rFonts w:ascii="Bookman Old Style" w:hAnsi="Bookman Old Style" w:cs="Times New Roman"/>
          <w:b/>
          <w:bCs/>
          <w:caps/>
          <w:sz w:val="24"/>
          <w:szCs w:val="24"/>
        </w:rPr>
        <w:t xml:space="preserve"> </w:t>
      </w:r>
    </w:p>
    <w:p w14:paraId="090A2326" w14:textId="77777777" w:rsidR="00916747" w:rsidRPr="00FE4953" w:rsidRDefault="00916747" w:rsidP="00D60F56">
      <w:pPr>
        <w:spacing w:line="360" w:lineRule="auto"/>
        <w:rPr>
          <w:rFonts w:ascii="Bookman Old Style" w:hAnsi="Bookman Old Style" w:cs="Times New Roman"/>
          <w:b/>
          <w:bCs/>
          <w:sz w:val="24"/>
          <w:szCs w:val="24"/>
          <w:u w:val="single"/>
          <w:lang w:bidi="ar-JO"/>
        </w:rPr>
      </w:pPr>
    </w:p>
    <w:p w14:paraId="676E66A3" w14:textId="55248207" w:rsidR="000061CC" w:rsidRPr="00AA53A3" w:rsidRDefault="000061CC" w:rsidP="00AA53A3">
      <w:pPr>
        <w:pStyle w:val="ListParagraph"/>
        <w:numPr>
          <w:ilvl w:val="0"/>
          <w:numId w:val="13"/>
        </w:numPr>
        <w:spacing w:after="160" w:line="480" w:lineRule="auto"/>
        <w:jc w:val="both"/>
        <w:rPr>
          <w:rFonts w:ascii="Bookman Old Style" w:hAnsi="Bookman Old Style"/>
          <w:sz w:val="24"/>
          <w:szCs w:val="24"/>
        </w:rPr>
      </w:pPr>
      <w:r w:rsidRPr="00AA53A3">
        <w:rPr>
          <w:rFonts w:ascii="Bookman Old Style" w:hAnsi="Bookman Old Style"/>
          <w:sz w:val="24"/>
          <w:szCs w:val="24"/>
        </w:rPr>
        <w:t>246</w:t>
      </w:r>
      <w:r w:rsidR="00AA53A3">
        <w:rPr>
          <w:rFonts w:ascii="Bookman Old Style" w:hAnsi="Bookman Old Style"/>
          <w:sz w:val="24"/>
          <w:szCs w:val="24"/>
          <w:vertAlign w:val="superscript"/>
        </w:rPr>
        <w:t xml:space="preserve">th </w:t>
      </w:r>
      <w:r w:rsidRPr="00AA53A3">
        <w:rPr>
          <w:rFonts w:ascii="Bookman Old Style" w:hAnsi="Bookman Old Style"/>
          <w:sz w:val="24"/>
          <w:szCs w:val="24"/>
        </w:rPr>
        <w:t>Law Commission’s R</w:t>
      </w:r>
      <w:r w:rsidR="00AA53A3">
        <w:rPr>
          <w:rFonts w:ascii="Bookman Old Style" w:hAnsi="Bookman Old Style"/>
          <w:sz w:val="24"/>
          <w:szCs w:val="24"/>
        </w:rPr>
        <w:t>eport</w:t>
      </w:r>
      <w:r w:rsidRPr="00AA53A3">
        <w:rPr>
          <w:rFonts w:ascii="Bookman Old Style" w:hAnsi="Bookman Old Style"/>
          <w:sz w:val="24"/>
          <w:szCs w:val="24"/>
        </w:rPr>
        <w:t>.</w:t>
      </w:r>
    </w:p>
    <w:p w14:paraId="43DFC3EB" w14:textId="6622F185" w:rsidR="00CF431E" w:rsidRPr="00FE4953" w:rsidRDefault="0015758E" w:rsidP="00C51F93">
      <w:pPr>
        <w:pStyle w:val="ListParagraph"/>
        <w:numPr>
          <w:ilvl w:val="0"/>
          <w:numId w:val="13"/>
        </w:numPr>
        <w:spacing w:after="160" w:line="480" w:lineRule="auto"/>
        <w:jc w:val="both"/>
        <w:rPr>
          <w:rFonts w:ascii="Bookman Old Style" w:hAnsi="Bookman Old Style"/>
          <w:sz w:val="24"/>
          <w:szCs w:val="24"/>
        </w:rPr>
      </w:pPr>
      <w:r w:rsidRPr="00FE4953">
        <w:rPr>
          <w:rFonts w:ascii="Bookman Old Style" w:hAnsi="Bookman Old Style"/>
          <w:sz w:val="24"/>
          <w:szCs w:val="24"/>
        </w:rPr>
        <w:t xml:space="preserve">Justice R S </w:t>
      </w:r>
      <w:proofErr w:type="spellStart"/>
      <w:r w:rsidRPr="00FE4953">
        <w:rPr>
          <w:rFonts w:ascii="Bookman Old Style" w:hAnsi="Bookman Old Style"/>
          <w:sz w:val="24"/>
          <w:szCs w:val="24"/>
        </w:rPr>
        <w:t>Bachawat’s</w:t>
      </w:r>
      <w:proofErr w:type="spellEnd"/>
      <w:r w:rsidRPr="00FE4953">
        <w:rPr>
          <w:rFonts w:ascii="Bookman Old Style" w:hAnsi="Bookman Old Style"/>
          <w:sz w:val="24"/>
          <w:szCs w:val="24"/>
        </w:rPr>
        <w:t xml:space="preserve"> Law of Arbitration and Conciliation, 6</w:t>
      </w:r>
      <w:r w:rsidRPr="00FE4953">
        <w:rPr>
          <w:rFonts w:ascii="Bookman Old Style" w:hAnsi="Bookman Old Style"/>
          <w:sz w:val="24"/>
          <w:szCs w:val="24"/>
          <w:vertAlign w:val="superscript"/>
        </w:rPr>
        <w:t>th</w:t>
      </w:r>
      <w:r w:rsidRPr="00FE4953">
        <w:rPr>
          <w:rFonts w:ascii="Bookman Old Style" w:hAnsi="Bookman Old Style"/>
          <w:sz w:val="24"/>
          <w:szCs w:val="24"/>
        </w:rPr>
        <w:t xml:space="preserve"> </w:t>
      </w:r>
      <w:proofErr w:type="spellStart"/>
      <w:r w:rsidRPr="00FE4953">
        <w:rPr>
          <w:rFonts w:ascii="Bookman Old Style" w:hAnsi="Bookman Old Style"/>
          <w:sz w:val="24"/>
          <w:szCs w:val="24"/>
        </w:rPr>
        <w:t>Edn</w:t>
      </w:r>
      <w:proofErr w:type="spellEnd"/>
      <w:r w:rsidRPr="00FE4953">
        <w:rPr>
          <w:rFonts w:ascii="Bookman Old Style" w:hAnsi="Bookman Old Style"/>
          <w:sz w:val="24"/>
          <w:szCs w:val="24"/>
        </w:rPr>
        <w:t xml:space="preserve">. Lexis </w:t>
      </w:r>
      <w:proofErr w:type="spellStart"/>
      <w:r w:rsidRPr="00FE4953">
        <w:rPr>
          <w:rFonts w:ascii="Bookman Old Style" w:hAnsi="Bookman Old Style"/>
          <w:sz w:val="24"/>
          <w:szCs w:val="24"/>
        </w:rPr>
        <w:t>Nexis</w:t>
      </w:r>
      <w:proofErr w:type="spellEnd"/>
    </w:p>
    <w:p w14:paraId="612901FD" w14:textId="7C4182B9" w:rsidR="0015758E" w:rsidRPr="00FE4953" w:rsidRDefault="0015758E" w:rsidP="00C51F93">
      <w:pPr>
        <w:pStyle w:val="ListParagraph"/>
        <w:numPr>
          <w:ilvl w:val="0"/>
          <w:numId w:val="13"/>
        </w:numPr>
        <w:spacing w:after="160" w:line="480" w:lineRule="auto"/>
        <w:jc w:val="both"/>
        <w:rPr>
          <w:rFonts w:ascii="Bookman Old Style" w:hAnsi="Bookman Old Style"/>
          <w:sz w:val="24"/>
          <w:szCs w:val="24"/>
        </w:rPr>
      </w:pPr>
      <w:proofErr w:type="spellStart"/>
      <w:r w:rsidRPr="00FE4953">
        <w:rPr>
          <w:rFonts w:ascii="Bookman Old Style" w:hAnsi="Bookman Old Style"/>
          <w:sz w:val="24"/>
          <w:szCs w:val="24"/>
        </w:rPr>
        <w:t>Markanda</w:t>
      </w:r>
      <w:proofErr w:type="spellEnd"/>
      <w:r w:rsidRPr="00FE4953">
        <w:rPr>
          <w:rFonts w:ascii="Bookman Old Style" w:hAnsi="Bookman Old Style"/>
          <w:sz w:val="24"/>
          <w:szCs w:val="24"/>
        </w:rPr>
        <w:t>: Law Relating to Arbit</w:t>
      </w:r>
      <w:r w:rsidR="00AA53A3">
        <w:rPr>
          <w:rFonts w:ascii="Bookman Old Style" w:hAnsi="Bookman Old Style"/>
          <w:sz w:val="24"/>
          <w:szCs w:val="24"/>
        </w:rPr>
        <w:t>r</w:t>
      </w:r>
      <w:r w:rsidRPr="00FE4953">
        <w:rPr>
          <w:rFonts w:ascii="Bookman Old Style" w:hAnsi="Bookman Old Style"/>
          <w:sz w:val="24"/>
          <w:szCs w:val="24"/>
        </w:rPr>
        <w:t>ation and Conciliation</w:t>
      </w:r>
      <w:r w:rsidR="00C51F93" w:rsidRPr="00FE4953">
        <w:rPr>
          <w:rFonts w:ascii="Bookman Old Style" w:hAnsi="Bookman Old Style"/>
          <w:sz w:val="24"/>
          <w:szCs w:val="24"/>
        </w:rPr>
        <w:t>, 9</w:t>
      </w:r>
      <w:r w:rsidR="00C51F93" w:rsidRPr="00FE4953">
        <w:rPr>
          <w:rFonts w:ascii="Bookman Old Style" w:hAnsi="Bookman Old Style"/>
          <w:sz w:val="24"/>
          <w:szCs w:val="24"/>
          <w:vertAlign w:val="superscript"/>
        </w:rPr>
        <w:t>th</w:t>
      </w:r>
      <w:r w:rsidR="00C51F93" w:rsidRPr="00FE4953">
        <w:rPr>
          <w:rFonts w:ascii="Bookman Old Style" w:hAnsi="Bookman Old Style"/>
          <w:sz w:val="24"/>
          <w:szCs w:val="24"/>
        </w:rPr>
        <w:t xml:space="preserve"> </w:t>
      </w:r>
      <w:proofErr w:type="spellStart"/>
      <w:r w:rsidR="00C51F93" w:rsidRPr="00FE4953">
        <w:rPr>
          <w:rFonts w:ascii="Bookman Old Style" w:hAnsi="Bookman Old Style"/>
          <w:sz w:val="24"/>
          <w:szCs w:val="24"/>
        </w:rPr>
        <w:t>Edn</w:t>
      </w:r>
      <w:proofErr w:type="spellEnd"/>
      <w:r w:rsidR="00C51F93" w:rsidRPr="00FE4953">
        <w:rPr>
          <w:rFonts w:ascii="Bookman Old Style" w:hAnsi="Bookman Old Style"/>
          <w:sz w:val="24"/>
          <w:szCs w:val="24"/>
        </w:rPr>
        <w:t xml:space="preserve"> 2016</w:t>
      </w:r>
    </w:p>
    <w:p w14:paraId="61391A60" w14:textId="77777777" w:rsidR="00D60F56" w:rsidRPr="00FE4953" w:rsidRDefault="00D60F56" w:rsidP="00C51F93">
      <w:pPr>
        <w:pStyle w:val="ListParagraph"/>
        <w:numPr>
          <w:ilvl w:val="0"/>
          <w:numId w:val="13"/>
        </w:numPr>
        <w:spacing w:before="240" w:line="480" w:lineRule="auto"/>
        <w:rPr>
          <w:rFonts w:ascii="Bookman Old Style" w:hAnsi="Bookman Old Style"/>
          <w:sz w:val="24"/>
          <w:szCs w:val="24"/>
          <w:lang w:bidi="ar-JO"/>
        </w:rPr>
      </w:pPr>
      <w:proofErr w:type="spellStart"/>
      <w:r w:rsidRPr="00FE4953">
        <w:rPr>
          <w:rFonts w:ascii="Bookman Old Style" w:hAnsi="Bookman Old Style"/>
          <w:sz w:val="24"/>
          <w:szCs w:val="24"/>
        </w:rPr>
        <w:t>Redfern</w:t>
      </w:r>
      <w:proofErr w:type="spellEnd"/>
      <w:r w:rsidRPr="00FE4953">
        <w:rPr>
          <w:rFonts w:ascii="Bookman Old Style" w:hAnsi="Bookman Old Style"/>
          <w:sz w:val="24"/>
          <w:szCs w:val="24"/>
        </w:rPr>
        <w:t xml:space="preserve"> A, and others Law and Practice of International Commercial Arbitration </w:t>
      </w:r>
      <w:r w:rsidRPr="00FE4953">
        <w:rPr>
          <w:rFonts w:ascii="Bookman Old Style" w:hAnsi="Bookman Old Style"/>
          <w:sz w:val="24"/>
          <w:szCs w:val="24"/>
          <w:lang w:bidi="ar-JO"/>
        </w:rPr>
        <w:t>(</w:t>
      </w:r>
      <w:r w:rsidRPr="00FE4953">
        <w:rPr>
          <w:rFonts w:ascii="Bookman Old Style" w:hAnsi="Bookman Old Style"/>
          <w:sz w:val="24"/>
          <w:szCs w:val="24"/>
          <w:shd w:val="clear" w:color="auto" w:fill="FFFFFF"/>
        </w:rPr>
        <w:t>Sweet &amp; Maxwell) 4th Revised edition (8 Sep 2004)</w:t>
      </w:r>
    </w:p>
    <w:p w14:paraId="57329BD1" w14:textId="631F5C3D" w:rsidR="00D60F56" w:rsidRPr="00FE4953" w:rsidRDefault="00D60F56" w:rsidP="00C51F93">
      <w:pPr>
        <w:pStyle w:val="ListParagraph"/>
        <w:numPr>
          <w:ilvl w:val="0"/>
          <w:numId w:val="13"/>
        </w:numPr>
        <w:spacing w:before="240" w:line="480" w:lineRule="auto"/>
        <w:rPr>
          <w:rFonts w:ascii="Bookman Old Style" w:hAnsi="Bookman Old Style"/>
          <w:sz w:val="24"/>
          <w:szCs w:val="24"/>
        </w:rPr>
      </w:pPr>
      <w:proofErr w:type="spellStart"/>
      <w:r w:rsidRPr="00FE4953">
        <w:rPr>
          <w:rFonts w:ascii="Bookman Old Style" w:hAnsi="Bookman Old Style"/>
          <w:sz w:val="24"/>
          <w:szCs w:val="24"/>
        </w:rPr>
        <w:t>Redfern</w:t>
      </w:r>
      <w:proofErr w:type="spellEnd"/>
      <w:r w:rsidRPr="00FE4953">
        <w:rPr>
          <w:rFonts w:ascii="Bookman Old Style" w:hAnsi="Bookman Old Style"/>
          <w:sz w:val="24"/>
          <w:szCs w:val="24"/>
        </w:rPr>
        <w:t>,</w:t>
      </w:r>
      <w:r w:rsidR="0066086C" w:rsidRPr="00FE4953">
        <w:rPr>
          <w:rFonts w:ascii="Bookman Old Style" w:hAnsi="Bookman Old Style"/>
          <w:sz w:val="24"/>
          <w:szCs w:val="24"/>
        </w:rPr>
        <w:t xml:space="preserve"> </w:t>
      </w:r>
      <w:r w:rsidRPr="00FE4953">
        <w:rPr>
          <w:rFonts w:ascii="Bookman Old Style" w:hAnsi="Bookman Old Style"/>
          <w:sz w:val="24"/>
          <w:szCs w:val="24"/>
        </w:rPr>
        <w:t xml:space="preserve">A Law and Practice of International Commercial Arbitration (Sweet &amp; Maxwell 2003) </w:t>
      </w:r>
    </w:p>
    <w:p w14:paraId="4B908F4B" w14:textId="4522704B" w:rsidR="00D60F56" w:rsidRPr="00FE4953" w:rsidRDefault="00D60F56" w:rsidP="00C51F93">
      <w:pPr>
        <w:pStyle w:val="ListParagraph"/>
        <w:numPr>
          <w:ilvl w:val="0"/>
          <w:numId w:val="13"/>
        </w:numPr>
        <w:spacing w:line="480" w:lineRule="auto"/>
        <w:rPr>
          <w:rFonts w:ascii="Bookman Old Style" w:hAnsi="Bookman Old Style"/>
          <w:sz w:val="24"/>
          <w:szCs w:val="24"/>
        </w:rPr>
      </w:pPr>
      <w:proofErr w:type="spellStart"/>
      <w:r w:rsidRPr="00FE4953">
        <w:rPr>
          <w:rFonts w:ascii="Bookman Old Style" w:hAnsi="Bookman Old Style"/>
          <w:sz w:val="24"/>
          <w:szCs w:val="24"/>
        </w:rPr>
        <w:t>Fouchard</w:t>
      </w:r>
      <w:proofErr w:type="spellEnd"/>
      <w:r w:rsidRPr="00FE4953">
        <w:rPr>
          <w:rFonts w:ascii="Bookman Old Style" w:hAnsi="Bookman Old Style"/>
          <w:sz w:val="24"/>
          <w:szCs w:val="24"/>
        </w:rPr>
        <w:t xml:space="preserve">, Gaillard, Goldman </w:t>
      </w:r>
      <w:proofErr w:type="gramStart"/>
      <w:r w:rsidRPr="00FE4953">
        <w:rPr>
          <w:rFonts w:ascii="Bookman Old Style" w:hAnsi="Bookman Old Style"/>
          <w:sz w:val="24"/>
          <w:szCs w:val="24"/>
        </w:rPr>
        <w:t>On</w:t>
      </w:r>
      <w:proofErr w:type="gramEnd"/>
      <w:r w:rsidRPr="00FE4953">
        <w:rPr>
          <w:rFonts w:ascii="Bookman Old Style" w:hAnsi="Bookman Old Style"/>
          <w:sz w:val="24"/>
          <w:szCs w:val="24"/>
        </w:rPr>
        <w:t xml:space="preserve"> International Commercial Arbitration (2nd Edition, Kluwer Law International 1999).</w:t>
      </w:r>
    </w:p>
    <w:p w14:paraId="217F3FEE" w14:textId="77777777" w:rsidR="000061CC" w:rsidRPr="00FE4953" w:rsidRDefault="000061CC" w:rsidP="000061CC">
      <w:pPr>
        <w:pStyle w:val="ListParagraph"/>
        <w:spacing w:line="480" w:lineRule="auto"/>
        <w:rPr>
          <w:rFonts w:ascii="Bookman Old Style" w:hAnsi="Bookman Old Style"/>
          <w:sz w:val="24"/>
          <w:szCs w:val="24"/>
        </w:rPr>
      </w:pPr>
    </w:p>
    <w:p w14:paraId="4AE2AB09" w14:textId="5FB58468" w:rsidR="00A6550A" w:rsidRPr="00FE4953" w:rsidRDefault="00A6550A" w:rsidP="00916747">
      <w:pPr>
        <w:spacing w:before="240" w:line="360" w:lineRule="auto"/>
        <w:rPr>
          <w:rFonts w:ascii="Bookman Old Style" w:hAnsi="Bookman Old Style" w:cs="Times New Roman"/>
          <w:b/>
          <w:bCs/>
          <w:caps/>
          <w:sz w:val="24"/>
          <w:szCs w:val="24"/>
          <w:lang w:bidi="ar-JO"/>
        </w:rPr>
      </w:pPr>
    </w:p>
    <w:p w14:paraId="7E79F19D" w14:textId="77777777" w:rsidR="00916747" w:rsidRPr="00FE4953" w:rsidRDefault="00916747" w:rsidP="00916747">
      <w:pPr>
        <w:spacing w:before="240" w:line="360" w:lineRule="auto"/>
        <w:rPr>
          <w:rFonts w:ascii="Bookman Old Style" w:hAnsi="Bookman Old Style" w:cs="Times New Roman"/>
          <w:b/>
          <w:bCs/>
          <w:caps/>
          <w:sz w:val="24"/>
          <w:szCs w:val="24"/>
          <w:lang w:bidi="ar-JO"/>
        </w:rPr>
      </w:pPr>
    </w:p>
    <w:p w14:paraId="19B194E6" w14:textId="48A19279" w:rsidR="00D62A94" w:rsidRPr="00FE4953" w:rsidRDefault="00D62A94" w:rsidP="0045775D">
      <w:pPr>
        <w:rPr>
          <w:rFonts w:ascii="Bookman Old Style" w:eastAsia="Times New Roman" w:hAnsi="Bookman Old Style" w:cs="Times New Roman"/>
          <w:sz w:val="24"/>
          <w:szCs w:val="24"/>
          <w:lang w:eastAsia="en-IN"/>
        </w:rPr>
      </w:pPr>
    </w:p>
    <w:sectPr w:rsidR="00D62A94" w:rsidRPr="00FE4953" w:rsidSect="000627F1">
      <w:headerReference w:type="even" r:id="rId17"/>
      <w:headerReference w:type="default" r:id="rId18"/>
      <w:footerReference w:type="even" r:id="rId19"/>
      <w:footerReference w:type="default" r:id="rId20"/>
      <w:headerReference w:type="first" r:id="rId21"/>
      <w:footerReference w:type="first" r:id="rId22"/>
      <w:pgSz w:w="11906" w:h="16838" w:code="9"/>
      <w:pgMar w:top="1440" w:right="1416"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6DF57" w14:textId="77777777" w:rsidR="004544AF" w:rsidRDefault="004544AF" w:rsidP="00A677D2">
      <w:pPr>
        <w:spacing w:after="0" w:line="240" w:lineRule="auto"/>
      </w:pPr>
      <w:r>
        <w:separator/>
      </w:r>
    </w:p>
  </w:endnote>
  <w:endnote w:type="continuationSeparator" w:id="0">
    <w:p w14:paraId="15B555F0" w14:textId="77777777" w:rsidR="004544AF" w:rsidRDefault="004544AF" w:rsidP="00A6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F4969" w14:textId="77777777" w:rsidR="000627F1" w:rsidRDefault="00062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026086"/>
      <w:docPartObj>
        <w:docPartGallery w:val="Page Numbers (Bottom of Page)"/>
        <w:docPartUnique/>
      </w:docPartObj>
    </w:sdtPr>
    <w:sdtEndPr>
      <w:rPr>
        <w:noProof/>
      </w:rPr>
    </w:sdtEndPr>
    <w:sdtContent>
      <w:p w14:paraId="2BE2FE15" w14:textId="5C8ABE23" w:rsidR="00511B77" w:rsidRDefault="00511B77">
        <w:pPr>
          <w:pStyle w:val="Footer"/>
          <w:jc w:val="center"/>
        </w:pPr>
        <w:r>
          <w:fldChar w:fldCharType="begin"/>
        </w:r>
        <w:r>
          <w:instrText xml:space="preserve"> PAGE   \* MERGEFORMAT </w:instrText>
        </w:r>
        <w:r>
          <w:fldChar w:fldCharType="separate"/>
        </w:r>
        <w:r w:rsidR="000627F1">
          <w:rPr>
            <w:noProof/>
          </w:rPr>
          <w:t>5</w:t>
        </w:r>
        <w:r>
          <w:rPr>
            <w:noProof/>
          </w:rPr>
          <w:fldChar w:fldCharType="end"/>
        </w:r>
      </w:p>
    </w:sdtContent>
  </w:sdt>
  <w:p w14:paraId="4FDA20C4" w14:textId="77777777" w:rsidR="00511B77" w:rsidRDefault="00511B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F384A" w14:textId="77777777" w:rsidR="000627F1" w:rsidRDefault="00062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AA0F3" w14:textId="77777777" w:rsidR="004544AF" w:rsidRDefault="004544AF" w:rsidP="00A677D2">
      <w:pPr>
        <w:spacing w:after="0" w:line="240" w:lineRule="auto"/>
      </w:pPr>
      <w:r>
        <w:separator/>
      </w:r>
    </w:p>
  </w:footnote>
  <w:footnote w:type="continuationSeparator" w:id="0">
    <w:p w14:paraId="3BB4F986" w14:textId="77777777" w:rsidR="004544AF" w:rsidRDefault="004544AF" w:rsidP="00A677D2">
      <w:pPr>
        <w:spacing w:after="0" w:line="240" w:lineRule="auto"/>
      </w:pPr>
      <w:r>
        <w:continuationSeparator/>
      </w:r>
    </w:p>
  </w:footnote>
  <w:footnote w:id="1">
    <w:p w14:paraId="16776E3C" w14:textId="77777777" w:rsidR="00FE4953" w:rsidRDefault="00FE4953" w:rsidP="00FE4953">
      <w:pPr>
        <w:pStyle w:val="FootnoteText"/>
      </w:pPr>
      <w:r>
        <w:rPr>
          <w:rStyle w:val="FootnoteReference"/>
        </w:rPr>
        <w:footnoteRef/>
      </w:r>
      <w:r>
        <w:t xml:space="preserve"> (2020) SCC Online SC177</w:t>
      </w:r>
    </w:p>
  </w:footnote>
  <w:footnote w:id="2">
    <w:p w14:paraId="7ECCBBF3" w14:textId="77777777" w:rsidR="00FE4953" w:rsidRDefault="00FE4953" w:rsidP="00FE4953">
      <w:pPr>
        <w:pStyle w:val="FootnoteText"/>
      </w:pPr>
      <w:r>
        <w:rPr>
          <w:rStyle w:val="FootnoteReference"/>
        </w:rPr>
        <w:footnoteRef/>
      </w:r>
      <w:r w:rsidRPr="00B1773F">
        <w:t xml:space="preserve"> </w:t>
      </w:r>
      <w:r w:rsidRPr="00B1773F">
        <w:rPr>
          <w:rFonts w:ascii="Times New Roman" w:hAnsi="Times New Roman" w:cs="Times New Roman"/>
          <w:color w:val="000000"/>
          <w:shd w:val="clear" w:color="auto" w:fill="FFFFFF"/>
        </w:rPr>
        <w:t xml:space="preserve">(1994) </w:t>
      </w:r>
      <w:proofErr w:type="spellStart"/>
      <w:r w:rsidRPr="00B1773F">
        <w:rPr>
          <w:rFonts w:ascii="Times New Roman" w:hAnsi="Times New Roman" w:cs="Times New Roman"/>
          <w:color w:val="000000"/>
          <w:shd w:val="clear" w:color="auto" w:fill="FFFFFF"/>
        </w:rPr>
        <w:t>Supp</w:t>
      </w:r>
      <w:proofErr w:type="spellEnd"/>
      <w:r w:rsidRPr="00B1773F">
        <w:rPr>
          <w:rFonts w:ascii="Times New Roman" w:hAnsi="Times New Roman" w:cs="Times New Roman"/>
          <w:color w:val="000000"/>
          <w:shd w:val="clear" w:color="auto" w:fill="FFFFFF"/>
        </w:rPr>
        <w:t xml:space="preserve"> 10 SCC 644</w:t>
      </w:r>
    </w:p>
  </w:footnote>
  <w:footnote w:id="3">
    <w:p w14:paraId="0F535669" w14:textId="77777777" w:rsidR="00FE4953" w:rsidRDefault="00FE4953" w:rsidP="00FE4953">
      <w:pPr>
        <w:pStyle w:val="FootnoteText"/>
      </w:pPr>
      <w:r>
        <w:rPr>
          <w:rStyle w:val="FootnoteReference"/>
        </w:rPr>
        <w:footnoteRef/>
      </w:r>
      <w:r>
        <w:t xml:space="preserve"> (2019) 11 SCC 620</w:t>
      </w:r>
    </w:p>
  </w:footnote>
  <w:footnote w:id="4">
    <w:p w14:paraId="0B26BAD0" w14:textId="77777777" w:rsidR="00FE4953" w:rsidRDefault="00FE4953" w:rsidP="00FE4953">
      <w:pPr>
        <w:pStyle w:val="FootnoteText"/>
      </w:pPr>
      <w:r>
        <w:rPr>
          <w:rStyle w:val="FootnoteReference"/>
        </w:rPr>
        <w:footnoteRef/>
      </w:r>
      <w:r>
        <w:t xml:space="preserve"> </w:t>
      </w:r>
      <w:r w:rsidRPr="00B1773F">
        <w:rPr>
          <w:rFonts w:ascii="Times New Roman" w:hAnsi="Times New Roman" w:cs="Times New Roman"/>
        </w:rPr>
        <w:t>(2012) 9 SCC 522</w:t>
      </w:r>
    </w:p>
  </w:footnote>
  <w:footnote w:id="5">
    <w:p w14:paraId="67D967AC" w14:textId="77777777" w:rsidR="00FE4953" w:rsidRPr="00B1773F" w:rsidRDefault="00FE4953" w:rsidP="00FE4953">
      <w:pPr>
        <w:pStyle w:val="FootnoteText"/>
        <w:rPr>
          <w:rFonts w:ascii="Times New Roman" w:hAnsi="Times New Roman" w:cs="Times New Roman"/>
          <w:sz w:val="16"/>
          <w:szCs w:val="16"/>
        </w:rPr>
      </w:pPr>
      <w:r w:rsidRPr="00B1773F">
        <w:rPr>
          <w:rStyle w:val="FootnoteReference"/>
          <w:rFonts w:ascii="Times New Roman" w:hAnsi="Times New Roman" w:cs="Times New Roman"/>
          <w:sz w:val="16"/>
          <w:szCs w:val="16"/>
        </w:rPr>
        <w:footnoteRef/>
      </w:r>
      <w:r w:rsidRPr="00B1773F">
        <w:rPr>
          <w:rFonts w:ascii="Times New Roman" w:hAnsi="Times New Roman" w:cs="Times New Roman"/>
          <w:sz w:val="16"/>
          <w:szCs w:val="16"/>
        </w:rPr>
        <w:t xml:space="preserve"> (2019) 11 SCC 620</w:t>
      </w:r>
    </w:p>
  </w:footnote>
  <w:footnote w:id="6">
    <w:p w14:paraId="1A6B0E79" w14:textId="77777777" w:rsidR="00FE4953" w:rsidRPr="00B1773F" w:rsidRDefault="00FE4953" w:rsidP="00FE4953">
      <w:pPr>
        <w:pStyle w:val="FootnoteText"/>
        <w:rPr>
          <w:rFonts w:ascii="Times New Roman" w:hAnsi="Times New Roman" w:cs="Times New Roman"/>
          <w:sz w:val="16"/>
          <w:szCs w:val="16"/>
        </w:rPr>
      </w:pPr>
      <w:r w:rsidRPr="00B1773F">
        <w:rPr>
          <w:rStyle w:val="FootnoteReference"/>
          <w:rFonts w:ascii="Times New Roman" w:hAnsi="Times New Roman" w:cs="Times New Roman"/>
          <w:sz w:val="16"/>
          <w:szCs w:val="16"/>
        </w:rPr>
        <w:footnoteRef/>
      </w:r>
      <w:r w:rsidRPr="00B1773F">
        <w:rPr>
          <w:rFonts w:ascii="Times New Roman" w:hAnsi="Times New Roman" w:cs="Times New Roman"/>
          <w:sz w:val="16"/>
          <w:szCs w:val="16"/>
        </w:rPr>
        <w:t xml:space="preserve"> (2001) 6 SCC 356</w:t>
      </w:r>
    </w:p>
  </w:footnote>
  <w:footnote w:id="7">
    <w:p w14:paraId="1816FB65" w14:textId="77777777" w:rsidR="00FE4953" w:rsidRDefault="00FE4953" w:rsidP="00FE4953">
      <w:pPr>
        <w:pStyle w:val="FootnoteText"/>
      </w:pPr>
      <w:r w:rsidRPr="00B1773F">
        <w:rPr>
          <w:rStyle w:val="FootnoteReference"/>
          <w:rFonts w:ascii="Times New Roman" w:hAnsi="Times New Roman" w:cs="Times New Roman"/>
          <w:sz w:val="16"/>
          <w:szCs w:val="16"/>
        </w:rPr>
        <w:footnoteRef/>
      </w:r>
      <w:r w:rsidRPr="00B1773F">
        <w:rPr>
          <w:rFonts w:ascii="Times New Roman" w:hAnsi="Times New Roman" w:cs="Times New Roman"/>
          <w:sz w:val="16"/>
          <w:szCs w:val="16"/>
        </w:rPr>
        <w:t xml:space="preserve">  (2018) 18 SCC 313</w:t>
      </w:r>
    </w:p>
  </w:footnote>
  <w:footnote w:id="8">
    <w:p w14:paraId="44B71773" w14:textId="77777777" w:rsidR="00FE4953" w:rsidRPr="00FA1643" w:rsidRDefault="00FE4953" w:rsidP="00FE4953">
      <w:pPr>
        <w:pStyle w:val="FootnoteText"/>
        <w:rPr>
          <w:rFonts w:ascii="Times New Roman" w:hAnsi="Times New Roman" w:cs="Times New Roman"/>
          <w:sz w:val="18"/>
          <w:szCs w:val="18"/>
        </w:rPr>
      </w:pPr>
      <w:r>
        <w:rPr>
          <w:rStyle w:val="FootnoteReference"/>
        </w:rPr>
        <w:footnoteRef/>
      </w:r>
      <w:r>
        <w:t xml:space="preserve"> </w:t>
      </w:r>
      <w:r w:rsidRPr="00FA1643">
        <w:rPr>
          <w:rFonts w:ascii="Times New Roman" w:hAnsi="Times New Roman" w:cs="Times New Roman"/>
          <w:sz w:val="18"/>
          <w:szCs w:val="18"/>
        </w:rPr>
        <w:t>(2011) 10 SCC 300</w:t>
      </w:r>
    </w:p>
  </w:footnote>
  <w:footnote w:id="9">
    <w:p w14:paraId="3F0B74BD" w14:textId="77777777" w:rsidR="00FE4953" w:rsidRPr="00FA1643" w:rsidRDefault="00FE4953" w:rsidP="00FE4953">
      <w:pPr>
        <w:pStyle w:val="FootnoteText"/>
        <w:rPr>
          <w:rFonts w:ascii="Times New Roman" w:hAnsi="Times New Roman" w:cs="Times New Roman"/>
          <w:sz w:val="18"/>
          <w:szCs w:val="18"/>
        </w:rPr>
      </w:pPr>
      <w:r w:rsidRPr="00FA1643">
        <w:rPr>
          <w:rStyle w:val="FootnoteReference"/>
          <w:rFonts w:ascii="Times New Roman" w:hAnsi="Times New Roman" w:cs="Times New Roman"/>
          <w:sz w:val="18"/>
          <w:szCs w:val="18"/>
        </w:rPr>
        <w:footnoteRef/>
      </w:r>
      <w:r w:rsidRPr="00FA1643">
        <w:rPr>
          <w:rFonts w:ascii="Times New Roman" w:hAnsi="Times New Roman" w:cs="Times New Roman"/>
          <w:sz w:val="18"/>
          <w:szCs w:val="18"/>
        </w:rPr>
        <w:t xml:space="preserve"> (2003) 5 SCC 705</w:t>
      </w:r>
    </w:p>
  </w:footnote>
  <w:footnote w:id="10">
    <w:p w14:paraId="358A47F5" w14:textId="77777777" w:rsidR="00FE4953" w:rsidRDefault="00FE4953" w:rsidP="00FE4953">
      <w:pPr>
        <w:pStyle w:val="FootnoteText"/>
      </w:pPr>
      <w:r w:rsidRPr="00FA1643">
        <w:rPr>
          <w:rStyle w:val="FootnoteReference"/>
          <w:rFonts w:ascii="Times New Roman" w:hAnsi="Times New Roman" w:cs="Times New Roman"/>
          <w:sz w:val="18"/>
          <w:szCs w:val="18"/>
        </w:rPr>
        <w:footnoteRef/>
      </w:r>
      <w:r w:rsidRPr="00FA1643">
        <w:rPr>
          <w:rFonts w:ascii="Times New Roman" w:hAnsi="Times New Roman" w:cs="Times New Roman"/>
          <w:sz w:val="18"/>
          <w:szCs w:val="18"/>
        </w:rPr>
        <w:t xml:space="preserve"> (2014) 2 SCC 433</w:t>
      </w:r>
    </w:p>
  </w:footnote>
  <w:footnote w:id="11">
    <w:p w14:paraId="14F75EEB" w14:textId="77777777" w:rsidR="00FE4953" w:rsidRDefault="00FE4953" w:rsidP="00FE4953">
      <w:pPr>
        <w:pStyle w:val="FootnoteText"/>
      </w:pPr>
      <w:r>
        <w:rPr>
          <w:rStyle w:val="FootnoteReference"/>
        </w:rPr>
        <w:footnoteRef/>
      </w:r>
      <w:r>
        <w:t xml:space="preserve"> </w:t>
      </w:r>
      <w:r w:rsidRPr="00FA1643">
        <w:rPr>
          <w:rFonts w:ascii="Times New Roman" w:hAnsi="Times New Roman" w:cs="Times New Roman"/>
        </w:rPr>
        <w:t>(2014) 9 SCC 263</w:t>
      </w:r>
    </w:p>
  </w:footnote>
  <w:footnote w:id="12">
    <w:p w14:paraId="710119D6" w14:textId="77777777" w:rsidR="00FE4953" w:rsidRDefault="00FE4953" w:rsidP="00FE4953">
      <w:pPr>
        <w:pStyle w:val="FootnoteText"/>
      </w:pPr>
      <w:r>
        <w:rPr>
          <w:rStyle w:val="FootnoteReference"/>
        </w:rPr>
        <w:footnoteRef/>
      </w:r>
      <w:r>
        <w:t xml:space="preserve"> </w:t>
      </w:r>
      <w:r w:rsidRPr="00822530">
        <w:rPr>
          <w:rFonts w:ascii="Times New Roman" w:hAnsi="Times New Roman" w:cs="Times New Roman"/>
          <w:sz w:val="28"/>
          <w:szCs w:val="28"/>
          <w:shd w:val="clear" w:color="auto" w:fill="FFFFFF"/>
        </w:rPr>
        <w:t>[AIR 2018 SC 1549]</w:t>
      </w:r>
    </w:p>
  </w:footnote>
  <w:footnote w:id="13">
    <w:p w14:paraId="524916FC" w14:textId="77777777" w:rsidR="00FE4953" w:rsidRPr="00FA1643" w:rsidRDefault="00FE4953" w:rsidP="00FE4953">
      <w:pPr>
        <w:pStyle w:val="FootnoteText"/>
      </w:pPr>
      <w:r>
        <w:rPr>
          <w:rStyle w:val="FootnoteReference"/>
        </w:rPr>
        <w:footnoteRef/>
      </w:r>
      <w:r>
        <w:t xml:space="preserve"> </w:t>
      </w:r>
      <w:r w:rsidRPr="00FA1643">
        <w:rPr>
          <w:rFonts w:ascii="Times New Roman" w:hAnsi="Times New Roman" w:cs="Times New Roman"/>
          <w:shd w:val="clear" w:color="auto" w:fill="FFFFFF"/>
        </w:rPr>
        <w:t xml:space="preserve">[(2015) SCC Online </w:t>
      </w:r>
      <w:proofErr w:type="spellStart"/>
      <w:r w:rsidRPr="00FA1643">
        <w:rPr>
          <w:rFonts w:ascii="Times New Roman" w:hAnsi="Times New Roman" w:cs="Times New Roman"/>
          <w:shd w:val="clear" w:color="auto" w:fill="FFFFFF"/>
        </w:rPr>
        <w:t>Bom</w:t>
      </w:r>
      <w:proofErr w:type="spellEnd"/>
      <w:r w:rsidRPr="00FA1643">
        <w:rPr>
          <w:rFonts w:ascii="Times New Roman" w:hAnsi="Times New Roman" w:cs="Times New Roman"/>
          <w:shd w:val="clear" w:color="auto" w:fill="FFFFFF"/>
        </w:rPr>
        <w:t xml:space="preserve"> 5006]</w:t>
      </w:r>
    </w:p>
  </w:footnote>
  <w:footnote w:id="14">
    <w:p w14:paraId="59039F48" w14:textId="77777777" w:rsidR="00FE4953" w:rsidRDefault="00FE4953" w:rsidP="00FE4953">
      <w:pPr>
        <w:pStyle w:val="FootnoteText"/>
      </w:pPr>
      <w:r w:rsidRPr="00FA1643">
        <w:rPr>
          <w:rStyle w:val="FootnoteReference"/>
        </w:rPr>
        <w:footnoteRef/>
      </w:r>
      <w:r w:rsidRPr="00FA1643">
        <w:t xml:space="preserve"> </w:t>
      </w:r>
      <w:r w:rsidRPr="00FA1643">
        <w:rPr>
          <w:rFonts w:ascii="Times New Roman" w:hAnsi="Times New Roman" w:cs="Times New Roman"/>
        </w:rPr>
        <w:t>2017 SCC Online Del 7810</w:t>
      </w:r>
    </w:p>
  </w:footnote>
  <w:footnote w:id="15">
    <w:p w14:paraId="7B026FE9" w14:textId="77777777" w:rsidR="00FE4953" w:rsidRPr="00FA1643" w:rsidRDefault="00FE4953" w:rsidP="00FE4953">
      <w:pPr>
        <w:pStyle w:val="FootnoteText"/>
        <w:rPr>
          <w:rFonts w:ascii="Times New Roman" w:hAnsi="Times New Roman" w:cs="Times New Roman"/>
        </w:rPr>
      </w:pPr>
      <w:r>
        <w:rPr>
          <w:rStyle w:val="FootnoteReference"/>
        </w:rPr>
        <w:footnoteRef/>
      </w:r>
      <w:r>
        <w:t xml:space="preserve"> </w:t>
      </w:r>
      <w:r w:rsidRPr="00FA1643">
        <w:rPr>
          <w:rFonts w:ascii="Times New Roman" w:hAnsi="Times New Roman" w:cs="Times New Roman"/>
          <w:shd w:val="clear" w:color="auto" w:fill="FFFFFF"/>
        </w:rPr>
        <w:t>[(2012) 4 Company Law Journal 178 Delhi]</w:t>
      </w:r>
    </w:p>
  </w:footnote>
  <w:footnote w:id="16">
    <w:p w14:paraId="278C26EC" w14:textId="77777777" w:rsidR="00FE4953" w:rsidRDefault="00FE4953" w:rsidP="00FE4953">
      <w:pPr>
        <w:pStyle w:val="FootnoteText"/>
      </w:pPr>
      <w:r w:rsidRPr="00FA1643">
        <w:rPr>
          <w:rStyle w:val="FootnoteReference"/>
          <w:rFonts w:ascii="Times New Roman" w:hAnsi="Times New Roman" w:cs="Times New Roman"/>
        </w:rPr>
        <w:footnoteRef/>
      </w:r>
      <w:r w:rsidRPr="00FA1643">
        <w:rPr>
          <w:rFonts w:ascii="Times New Roman" w:hAnsi="Times New Roman" w:cs="Times New Roman"/>
        </w:rPr>
        <w:t xml:space="preserve"> </w:t>
      </w:r>
      <w:r w:rsidRPr="00FA1643">
        <w:rPr>
          <w:rFonts w:ascii="Times New Roman" w:hAnsi="Times New Roman" w:cs="Times New Roman"/>
          <w:shd w:val="clear" w:color="auto" w:fill="FFFFFF"/>
        </w:rPr>
        <w:t xml:space="preserve">(2006) 5 </w:t>
      </w:r>
      <w:proofErr w:type="spellStart"/>
      <w:r w:rsidRPr="00FA1643">
        <w:rPr>
          <w:rFonts w:ascii="Times New Roman" w:hAnsi="Times New Roman" w:cs="Times New Roman"/>
          <w:shd w:val="clear" w:color="auto" w:fill="FFFFFF"/>
        </w:rPr>
        <w:t>Bom</w:t>
      </w:r>
      <w:proofErr w:type="spellEnd"/>
      <w:r w:rsidRPr="00FA1643">
        <w:rPr>
          <w:rFonts w:ascii="Times New Roman" w:hAnsi="Times New Roman" w:cs="Times New Roman"/>
          <w:shd w:val="clear" w:color="auto" w:fill="FFFFFF"/>
        </w:rPr>
        <w:t xml:space="preserve"> C.R. 155</w:t>
      </w:r>
    </w:p>
  </w:footnote>
  <w:footnote w:id="17">
    <w:p w14:paraId="46BDE727" w14:textId="77777777" w:rsidR="00FE4953" w:rsidRPr="00031348" w:rsidRDefault="00FE4953" w:rsidP="00FE4953">
      <w:pPr>
        <w:pStyle w:val="FootnoteText"/>
      </w:pPr>
      <w:r>
        <w:rPr>
          <w:rStyle w:val="FootnoteReference"/>
        </w:rPr>
        <w:footnoteRef/>
      </w:r>
      <w:r>
        <w:t xml:space="preserve"> </w:t>
      </w:r>
      <w:r w:rsidRPr="00822530">
        <w:rPr>
          <w:rFonts w:ascii="Times New Roman" w:hAnsi="Times New Roman" w:cs="Times New Roman"/>
          <w:sz w:val="28"/>
          <w:szCs w:val="28"/>
        </w:rPr>
        <w:t xml:space="preserve"> </w:t>
      </w:r>
      <w:r w:rsidRPr="00031348">
        <w:rPr>
          <w:rFonts w:ascii="Times New Roman" w:hAnsi="Times New Roman" w:cs="Times New Roman"/>
        </w:rPr>
        <w:t>(2019) SCC Online Del 8350</w:t>
      </w:r>
    </w:p>
  </w:footnote>
  <w:footnote w:id="18">
    <w:p w14:paraId="7E599E94" w14:textId="77777777" w:rsidR="00FE4953" w:rsidRDefault="00FE4953" w:rsidP="00FE4953">
      <w:pPr>
        <w:pStyle w:val="FootnoteText"/>
      </w:pPr>
      <w:r w:rsidRPr="00031348">
        <w:rPr>
          <w:rStyle w:val="FootnoteReference"/>
        </w:rPr>
        <w:footnoteRef/>
      </w:r>
      <w:r w:rsidRPr="00031348">
        <w:t xml:space="preserve"> </w:t>
      </w:r>
      <w:r w:rsidRPr="00031348">
        <w:rPr>
          <w:rFonts w:ascii="Times New Roman" w:hAnsi="Times New Roman" w:cs="Times New Roman"/>
        </w:rPr>
        <w:t>2012 (128) DRJ 371</w:t>
      </w:r>
    </w:p>
  </w:footnote>
  <w:footnote w:id="19">
    <w:p w14:paraId="4F2584AF" w14:textId="77777777" w:rsidR="00FE4953" w:rsidRPr="00031348" w:rsidRDefault="00FE4953" w:rsidP="00FE4953">
      <w:pPr>
        <w:pStyle w:val="FootnoteText"/>
      </w:pPr>
      <w:r>
        <w:rPr>
          <w:rStyle w:val="FootnoteReference"/>
        </w:rPr>
        <w:footnoteRef/>
      </w:r>
      <w:r>
        <w:t xml:space="preserve"> </w:t>
      </w:r>
      <w:r w:rsidRPr="00031348">
        <w:rPr>
          <w:rFonts w:ascii="Times New Roman" w:hAnsi="Times New Roman" w:cs="Times New Roman"/>
        </w:rPr>
        <w:t xml:space="preserve">2012 (128) DRJ 371 </w:t>
      </w:r>
      <w:proofErr w:type="spellStart"/>
      <w:r w:rsidRPr="00031348">
        <w:rPr>
          <w:color w:val="000000"/>
        </w:rPr>
        <w:t>Dallah</w:t>
      </w:r>
      <w:proofErr w:type="spellEnd"/>
      <w:r w:rsidRPr="00031348">
        <w:rPr>
          <w:color w:val="000000"/>
        </w:rPr>
        <w:t xml:space="preserve"> Real Estate and Tourism Holding Company vs. The Ministry of Religious Affairs, Govt. of Pakistan.</w:t>
      </w:r>
    </w:p>
  </w:footnote>
  <w:footnote w:id="20">
    <w:p w14:paraId="6D5FFD38" w14:textId="77777777" w:rsidR="00FE4953" w:rsidRDefault="00FE4953" w:rsidP="00FE4953">
      <w:pPr>
        <w:pStyle w:val="FootnoteText"/>
      </w:pPr>
      <w:r w:rsidRPr="00031348">
        <w:rPr>
          <w:rStyle w:val="FootnoteReference"/>
        </w:rPr>
        <w:footnoteRef/>
      </w:r>
      <w:r w:rsidRPr="00031348">
        <w:t xml:space="preserve"> </w:t>
      </w:r>
      <w:r w:rsidRPr="00031348">
        <w:rPr>
          <w:color w:val="000000"/>
        </w:rPr>
        <w:t xml:space="preserve">PT First Media TBK vs. </w:t>
      </w:r>
      <w:proofErr w:type="spellStart"/>
      <w:r w:rsidRPr="00031348">
        <w:rPr>
          <w:color w:val="000000"/>
        </w:rPr>
        <w:t>Astro</w:t>
      </w:r>
      <w:proofErr w:type="spellEnd"/>
      <w:r w:rsidRPr="00031348">
        <w:rPr>
          <w:color w:val="000000"/>
        </w:rPr>
        <w:t xml:space="preserve"> </w:t>
      </w:r>
      <w:proofErr w:type="spellStart"/>
      <w:r w:rsidRPr="00031348">
        <w:rPr>
          <w:color w:val="000000"/>
        </w:rPr>
        <w:t>Nausantara</w:t>
      </w:r>
      <w:proofErr w:type="spellEnd"/>
      <w:r w:rsidRPr="00031348">
        <w:rPr>
          <w:color w:val="000000"/>
        </w:rPr>
        <w:t xml:space="preserve"> International B V. 1 (2014) 1 SLR 372</w:t>
      </w:r>
    </w:p>
  </w:footnote>
  <w:footnote w:id="21">
    <w:p w14:paraId="6C07CCBC" w14:textId="24AA3367" w:rsidR="00586EB6" w:rsidRPr="00586EB6" w:rsidRDefault="00586EB6">
      <w:pPr>
        <w:pStyle w:val="FootnoteText"/>
        <w:rPr>
          <w:lang w:val="en-US"/>
        </w:rPr>
      </w:pPr>
      <w:r>
        <w:rPr>
          <w:rStyle w:val="FootnoteReference"/>
        </w:rPr>
        <w:footnoteRef/>
      </w:r>
      <w:r>
        <w:t xml:space="preserve"> </w:t>
      </w:r>
      <w:r w:rsidRPr="00586EB6">
        <w:rPr>
          <w:rFonts w:ascii="Times New Roman" w:hAnsi="Times New Roman" w:cs="Times New Roman"/>
          <w:shd w:val="clear" w:color="auto" w:fill="FFFFFF"/>
        </w:rPr>
        <w:t>ARBP/76/2012 WITH ARBP/12/2012 (BHC)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BE39C" w14:textId="77777777" w:rsidR="000627F1" w:rsidRDefault="000627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528D0" w14:textId="77777777" w:rsidR="000627F1" w:rsidRDefault="000627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E0C4" w14:textId="77777777" w:rsidR="000627F1" w:rsidRDefault="00062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F3E"/>
    <w:multiLevelType w:val="hybridMultilevel"/>
    <w:tmpl w:val="F11A0842"/>
    <w:lvl w:ilvl="0" w:tplc="2CA637C2">
      <w:start w:val="67"/>
      <w:numFmt w:val="upperLetter"/>
      <w:lvlText w:val="%1"/>
      <w:lvlJc w:val="left"/>
    </w:lvl>
    <w:lvl w:ilvl="1" w:tplc="5C70C674">
      <w:numFmt w:val="decimal"/>
      <w:lvlText w:val=""/>
      <w:lvlJc w:val="left"/>
    </w:lvl>
    <w:lvl w:ilvl="2" w:tplc="07687BA4">
      <w:numFmt w:val="decimal"/>
      <w:lvlText w:val=""/>
      <w:lvlJc w:val="left"/>
    </w:lvl>
    <w:lvl w:ilvl="3" w:tplc="BE229700">
      <w:numFmt w:val="decimal"/>
      <w:lvlText w:val=""/>
      <w:lvlJc w:val="left"/>
    </w:lvl>
    <w:lvl w:ilvl="4" w:tplc="4BFA1CA8">
      <w:numFmt w:val="decimal"/>
      <w:lvlText w:val=""/>
      <w:lvlJc w:val="left"/>
    </w:lvl>
    <w:lvl w:ilvl="5" w:tplc="D562B200">
      <w:numFmt w:val="decimal"/>
      <w:lvlText w:val=""/>
      <w:lvlJc w:val="left"/>
    </w:lvl>
    <w:lvl w:ilvl="6" w:tplc="43C659B6">
      <w:numFmt w:val="decimal"/>
      <w:lvlText w:val=""/>
      <w:lvlJc w:val="left"/>
    </w:lvl>
    <w:lvl w:ilvl="7" w:tplc="0182265A">
      <w:numFmt w:val="decimal"/>
      <w:lvlText w:val=""/>
      <w:lvlJc w:val="left"/>
    </w:lvl>
    <w:lvl w:ilvl="8" w:tplc="A2F62996">
      <w:numFmt w:val="decimal"/>
      <w:lvlText w:val=""/>
      <w:lvlJc w:val="left"/>
    </w:lvl>
  </w:abstractNum>
  <w:abstractNum w:abstractNumId="1">
    <w:nsid w:val="0C8748A3"/>
    <w:multiLevelType w:val="hybridMultilevel"/>
    <w:tmpl w:val="FFCC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07D2E"/>
    <w:multiLevelType w:val="hybridMultilevel"/>
    <w:tmpl w:val="1C12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76DE9"/>
    <w:multiLevelType w:val="hybridMultilevel"/>
    <w:tmpl w:val="1A9AC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F667893"/>
    <w:multiLevelType w:val="hybridMultilevel"/>
    <w:tmpl w:val="C10C71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FE85F1D"/>
    <w:multiLevelType w:val="hybridMultilevel"/>
    <w:tmpl w:val="3CA6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14CEA"/>
    <w:multiLevelType w:val="multilevel"/>
    <w:tmpl w:val="C982FC0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81B6F0A"/>
    <w:multiLevelType w:val="hybridMultilevel"/>
    <w:tmpl w:val="56103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6605D85"/>
    <w:multiLevelType w:val="hybridMultilevel"/>
    <w:tmpl w:val="225EEB9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B5A6863"/>
    <w:multiLevelType w:val="hybridMultilevel"/>
    <w:tmpl w:val="3D4848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1362630"/>
    <w:multiLevelType w:val="hybridMultilevel"/>
    <w:tmpl w:val="A3A09C9A"/>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444CB9"/>
    <w:multiLevelType w:val="hybridMultilevel"/>
    <w:tmpl w:val="515813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F55FDC"/>
    <w:multiLevelType w:val="hybridMultilevel"/>
    <w:tmpl w:val="99467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B351D00"/>
    <w:multiLevelType w:val="hybridMultilevel"/>
    <w:tmpl w:val="7A0A58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F0731B3"/>
    <w:multiLevelType w:val="hybridMultilevel"/>
    <w:tmpl w:val="49F218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3671148"/>
    <w:multiLevelType w:val="hybridMultilevel"/>
    <w:tmpl w:val="60700A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6F2E01"/>
    <w:multiLevelType w:val="hybridMultilevel"/>
    <w:tmpl w:val="72B88694"/>
    <w:lvl w:ilvl="0" w:tplc="E6B67A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BE313D8"/>
    <w:multiLevelType w:val="hybridMultilevel"/>
    <w:tmpl w:val="6722F3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D30025D"/>
    <w:multiLevelType w:val="hybridMultilevel"/>
    <w:tmpl w:val="AC56D2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E205C84"/>
    <w:multiLevelType w:val="hybridMultilevel"/>
    <w:tmpl w:val="F698D0DC"/>
    <w:lvl w:ilvl="0" w:tplc="40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F594120"/>
    <w:multiLevelType w:val="hybridMultilevel"/>
    <w:tmpl w:val="727E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242219"/>
    <w:multiLevelType w:val="hybridMultilevel"/>
    <w:tmpl w:val="7FC62B96"/>
    <w:lvl w:ilvl="0" w:tplc="9260CEF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BC78A6"/>
    <w:multiLevelType w:val="hybridMultilevel"/>
    <w:tmpl w:val="F5F668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BC7241F"/>
    <w:multiLevelType w:val="hybridMultilevel"/>
    <w:tmpl w:val="3CAAAC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E825AB5"/>
    <w:multiLevelType w:val="hybridMultilevel"/>
    <w:tmpl w:val="27B6C240"/>
    <w:lvl w:ilvl="0" w:tplc="4009000F">
      <w:start w:val="1"/>
      <w:numFmt w:val="decimal"/>
      <w:lvlText w:val="%1."/>
      <w:lvlJc w:val="left"/>
      <w:pPr>
        <w:ind w:left="781" w:hanging="360"/>
      </w:pPr>
    </w:lvl>
    <w:lvl w:ilvl="1" w:tplc="40090019" w:tentative="1">
      <w:start w:val="1"/>
      <w:numFmt w:val="lowerLetter"/>
      <w:lvlText w:val="%2."/>
      <w:lvlJc w:val="left"/>
      <w:pPr>
        <w:ind w:left="1501" w:hanging="360"/>
      </w:pPr>
    </w:lvl>
    <w:lvl w:ilvl="2" w:tplc="4009001B" w:tentative="1">
      <w:start w:val="1"/>
      <w:numFmt w:val="lowerRoman"/>
      <w:lvlText w:val="%3."/>
      <w:lvlJc w:val="right"/>
      <w:pPr>
        <w:ind w:left="2221" w:hanging="180"/>
      </w:pPr>
    </w:lvl>
    <w:lvl w:ilvl="3" w:tplc="4009000F" w:tentative="1">
      <w:start w:val="1"/>
      <w:numFmt w:val="decimal"/>
      <w:lvlText w:val="%4."/>
      <w:lvlJc w:val="left"/>
      <w:pPr>
        <w:ind w:left="2941" w:hanging="360"/>
      </w:pPr>
    </w:lvl>
    <w:lvl w:ilvl="4" w:tplc="40090019" w:tentative="1">
      <w:start w:val="1"/>
      <w:numFmt w:val="lowerLetter"/>
      <w:lvlText w:val="%5."/>
      <w:lvlJc w:val="left"/>
      <w:pPr>
        <w:ind w:left="3661" w:hanging="360"/>
      </w:pPr>
    </w:lvl>
    <w:lvl w:ilvl="5" w:tplc="4009001B" w:tentative="1">
      <w:start w:val="1"/>
      <w:numFmt w:val="lowerRoman"/>
      <w:lvlText w:val="%6."/>
      <w:lvlJc w:val="right"/>
      <w:pPr>
        <w:ind w:left="4381" w:hanging="180"/>
      </w:pPr>
    </w:lvl>
    <w:lvl w:ilvl="6" w:tplc="4009000F" w:tentative="1">
      <w:start w:val="1"/>
      <w:numFmt w:val="decimal"/>
      <w:lvlText w:val="%7."/>
      <w:lvlJc w:val="left"/>
      <w:pPr>
        <w:ind w:left="5101" w:hanging="360"/>
      </w:pPr>
    </w:lvl>
    <w:lvl w:ilvl="7" w:tplc="40090019" w:tentative="1">
      <w:start w:val="1"/>
      <w:numFmt w:val="lowerLetter"/>
      <w:lvlText w:val="%8."/>
      <w:lvlJc w:val="left"/>
      <w:pPr>
        <w:ind w:left="5821" w:hanging="360"/>
      </w:pPr>
    </w:lvl>
    <w:lvl w:ilvl="8" w:tplc="4009001B" w:tentative="1">
      <w:start w:val="1"/>
      <w:numFmt w:val="lowerRoman"/>
      <w:lvlText w:val="%9."/>
      <w:lvlJc w:val="right"/>
      <w:pPr>
        <w:ind w:left="6541" w:hanging="180"/>
      </w:pPr>
    </w:lvl>
  </w:abstractNum>
  <w:abstractNum w:abstractNumId="25">
    <w:nsid w:val="5FFE6CC8"/>
    <w:multiLevelType w:val="hybridMultilevel"/>
    <w:tmpl w:val="F7F875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15E2693"/>
    <w:multiLevelType w:val="hybridMultilevel"/>
    <w:tmpl w:val="36A60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4363CF9"/>
    <w:multiLevelType w:val="hybridMultilevel"/>
    <w:tmpl w:val="A8CC1604"/>
    <w:lvl w:ilvl="0" w:tplc="0C09000B">
      <w:start w:val="1"/>
      <w:numFmt w:val="bullet"/>
      <w:lvlText w:val=""/>
      <w:lvlJc w:val="left"/>
      <w:pPr>
        <w:ind w:left="1800" w:hanging="360"/>
      </w:pPr>
      <w:rPr>
        <w:rFonts w:ascii="Wingdings" w:hAnsi="Wingdings" w:hint="default"/>
      </w:rPr>
    </w:lvl>
    <w:lvl w:ilvl="1" w:tplc="0C090001">
      <w:start w:val="1"/>
      <w:numFmt w:val="bullet"/>
      <w:lvlText w:val=""/>
      <w:lvlJc w:val="left"/>
      <w:pPr>
        <w:tabs>
          <w:tab w:val="num" w:pos="2520"/>
        </w:tabs>
        <w:ind w:left="2520" w:hanging="360"/>
      </w:pPr>
      <w:rPr>
        <w:rFonts w:ascii="Symbol" w:hAnsi="Symbol" w:hint="default"/>
      </w:rPr>
    </w:lvl>
    <w:lvl w:ilvl="2" w:tplc="0C090005" w:tentative="1">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6"/>
  </w:num>
  <w:num w:numId="2">
    <w:abstractNumId w:val="5"/>
  </w:num>
  <w:num w:numId="3">
    <w:abstractNumId w:val="0"/>
  </w:num>
  <w:num w:numId="4">
    <w:abstractNumId w:val="12"/>
  </w:num>
  <w:num w:numId="5">
    <w:abstractNumId w:val="23"/>
  </w:num>
  <w:num w:numId="6">
    <w:abstractNumId w:val="17"/>
  </w:num>
  <w:num w:numId="7">
    <w:abstractNumId w:val="7"/>
  </w:num>
  <w:num w:numId="8">
    <w:abstractNumId w:val="13"/>
  </w:num>
  <w:num w:numId="9">
    <w:abstractNumId w:val="3"/>
  </w:num>
  <w:num w:numId="10">
    <w:abstractNumId w:val="1"/>
  </w:num>
  <w:num w:numId="11">
    <w:abstractNumId w:val="4"/>
  </w:num>
  <w:num w:numId="12">
    <w:abstractNumId w:val="24"/>
  </w:num>
  <w:num w:numId="13">
    <w:abstractNumId w:val="26"/>
  </w:num>
  <w:num w:numId="14">
    <w:abstractNumId w:val="15"/>
  </w:num>
  <w:num w:numId="15">
    <w:abstractNumId w:val="8"/>
  </w:num>
  <w:num w:numId="16">
    <w:abstractNumId w:val="22"/>
  </w:num>
  <w:num w:numId="17">
    <w:abstractNumId w:val="11"/>
  </w:num>
  <w:num w:numId="18">
    <w:abstractNumId w:val="6"/>
  </w:num>
  <w:num w:numId="19">
    <w:abstractNumId w:val="19"/>
  </w:num>
  <w:num w:numId="20">
    <w:abstractNumId w:val="14"/>
  </w:num>
  <w:num w:numId="21">
    <w:abstractNumId w:val="18"/>
  </w:num>
  <w:num w:numId="22">
    <w:abstractNumId w:val="27"/>
  </w:num>
  <w:num w:numId="23">
    <w:abstractNumId w:val="10"/>
  </w:num>
  <w:num w:numId="24">
    <w:abstractNumId w:val="9"/>
  </w:num>
  <w:num w:numId="25">
    <w:abstractNumId w:val="25"/>
  </w:num>
  <w:num w:numId="26">
    <w:abstractNumId w:val="21"/>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62"/>
    <w:rsid w:val="000061CC"/>
    <w:rsid w:val="000126EE"/>
    <w:rsid w:val="000142FC"/>
    <w:rsid w:val="000520D5"/>
    <w:rsid w:val="000627F1"/>
    <w:rsid w:val="000653F9"/>
    <w:rsid w:val="000A195A"/>
    <w:rsid w:val="000B37CB"/>
    <w:rsid w:val="000F33AD"/>
    <w:rsid w:val="000F73A0"/>
    <w:rsid w:val="0010790E"/>
    <w:rsid w:val="00115396"/>
    <w:rsid w:val="001373E9"/>
    <w:rsid w:val="001448B6"/>
    <w:rsid w:val="0015758E"/>
    <w:rsid w:val="00163F8E"/>
    <w:rsid w:val="00164B9E"/>
    <w:rsid w:val="00165D28"/>
    <w:rsid w:val="0017076D"/>
    <w:rsid w:val="00190180"/>
    <w:rsid w:val="00190DA8"/>
    <w:rsid w:val="001C4896"/>
    <w:rsid w:val="001E6B1E"/>
    <w:rsid w:val="001F15B3"/>
    <w:rsid w:val="00211C89"/>
    <w:rsid w:val="00224888"/>
    <w:rsid w:val="00233864"/>
    <w:rsid w:val="002404A9"/>
    <w:rsid w:val="002C42A3"/>
    <w:rsid w:val="002D6308"/>
    <w:rsid w:val="002E7EB2"/>
    <w:rsid w:val="0031306A"/>
    <w:rsid w:val="00351E89"/>
    <w:rsid w:val="00365CAB"/>
    <w:rsid w:val="00396C9F"/>
    <w:rsid w:val="00397231"/>
    <w:rsid w:val="003A222E"/>
    <w:rsid w:val="003B57E1"/>
    <w:rsid w:val="003B673D"/>
    <w:rsid w:val="003E4F42"/>
    <w:rsid w:val="003E71BD"/>
    <w:rsid w:val="003F1467"/>
    <w:rsid w:val="003F7552"/>
    <w:rsid w:val="004544AF"/>
    <w:rsid w:val="0045775D"/>
    <w:rsid w:val="00483095"/>
    <w:rsid w:val="00493064"/>
    <w:rsid w:val="004A0927"/>
    <w:rsid w:val="004F03DE"/>
    <w:rsid w:val="00511B77"/>
    <w:rsid w:val="005359BC"/>
    <w:rsid w:val="00550C54"/>
    <w:rsid w:val="00551BB5"/>
    <w:rsid w:val="005567D5"/>
    <w:rsid w:val="00586EB6"/>
    <w:rsid w:val="005B0F90"/>
    <w:rsid w:val="005D2149"/>
    <w:rsid w:val="005F5280"/>
    <w:rsid w:val="00604CCA"/>
    <w:rsid w:val="006162AB"/>
    <w:rsid w:val="00621115"/>
    <w:rsid w:val="00621D0E"/>
    <w:rsid w:val="00627CEF"/>
    <w:rsid w:val="006478C2"/>
    <w:rsid w:val="006544FD"/>
    <w:rsid w:val="0066086C"/>
    <w:rsid w:val="00670EC1"/>
    <w:rsid w:val="006919AA"/>
    <w:rsid w:val="00694A95"/>
    <w:rsid w:val="006F6A77"/>
    <w:rsid w:val="00715CFC"/>
    <w:rsid w:val="00721B61"/>
    <w:rsid w:val="00722ACB"/>
    <w:rsid w:val="00724B2D"/>
    <w:rsid w:val="007419A7"/>
    <w:rsid w:val="00773BEC"/>
    <w:rsid w:val="00776371"/>
    <w:rsid w:val="00782A31"/>
    <w:rsid w:val="00782AEC"/>
    <w:rsid w:val="00797375"/>
    <w:rsid w:val="007B0CE7"/>
    <w:rsid w:val="007B7C63"/>
    <w:rsid w:val="007F7DB1"/>
    <w:rsid w:val="00810045"/>
    <w:rsid w:val="00810BD4"/>
    <w:rsid w:val="0086553D"/>
    <w:rsid w:val="008752AC"/>
    <w:rsid w:val="00877B4C"/>
    <w:rsid w:val="00894674"/>
    <w:rsid w:val="008A5AB7"/>
    <w:rsid w:val="008D57C7"/>
    <w:rsid w:val="008E1410"/>
    <w:rsid w:val="008E5E7A"/>
    <w:rsid w:val="008F36F3"/>
    <w:rsid w:val="0090008A"/>
    <w:rsid w:val="00907546"/>
    <w:rsid w:val="00911CF4"/>
    <w:rsid w:val="00916747"/>
    <w:rsid w:val="00921083"/>
    <w:rsid w:val="00923340"/>
    <w:rsid w:val="00925AD4"/>
    <w:rsid w:val="009971F9"/>
    <w:rsid w:val="009D265E"/>
    <w:rsid w:val="00A47F62"/>
    <w:rsid w:val="00A544B4"/>
    <w:rsid w:val="00A6550A"/>
    <w:rsid w:val="00A66C1D"/>
    <w:rsid w:val="00A677D2"/>
    <w:rsid w:val="00AA1AA1"/>
    <w:rsid w:val="00AA4720"/>
    <w:rsid w:val="00AA53A3"/>
    <w:rsid w:val="00AD05AA"/>
    <w:rsid w:val="00AD610E"/>
    <w:rsid w:val="00B05918"/>
    <w:rsid w:val="00B10E0C"/>
    <w:rsid w:val="00B12D3B"/>
    <w:rsid w:val="00B12F59"/>
    <w:rsid w:val="00B405EE"/>
    <w:rsid w:val="00B437B7"/>
    <w:rsid w:val="00BA19EB"/>
    <w:rsid w:val="00BB002C"/>
    <w:rsid w:val="00BB3890"/>
    <w:rsid w:val="00BF3465"/>
    <w:rsid w:val="00BF3FBF"/>
    <w:rsid w:val="00C51F93"/>
    <w:rsid w:val="00C544E3"/>
    <w:rsid w:val="00C76676"/>
    <w:rsid w:val="00C9124E"/>
    <w:rsid w:val="00CB22EF"/>
    <w:rsid w:val="00CB7522"/>
    <w:rsid w:val="00CC009C"/>
    <w:rsid w:val="00CC14D3"/>
    <w:rsid w:val="00CC55E7"/>
    <w:rsid w:val="00CC5DE7"/>
    <w:rsid w:val="00CF431E"/>
    <w:rsid w:val="00D10716"/>
    <w:rsid w:val="00D45E28"/>
    <w:rsid w:val="00D60F56"/>
    <w:rsid w:val="00D62A94"/>
    <w:rsid w:val="00D62D62"/>
    <w:rsid w:val="00DA491F"/>
    <w:rsid w:val="00DA5FCC"/>
    <w:rsid w:val="00DA7ED0"/>
    <w:rsid w:val="00DC1FC5"/>
    <w:rsid w:val="00DC212C"/>
    <w:rsid w:val="00DD2F02"/>
    <w:rsid w:val="00DF18A7"/>
    <w:rsid w:val="00DF65C2"/>
    <w:rsid w:val="00DF75C0"/>
    <w:rsid w:val="00E01EEF"/>
    <w:rsid w:val="00E2152E"/>
    <w:rsid w:val="00E416C9"/>
    <w:rsid w:val="00E56097"/>
    <w:rsid w:val="00E96447"/>
    <w:rsid w:val="00EC7B11"/>
    <w:rsid w:val="00EF698D"/>
    <w:rsid w:val="00F17C4E"/>
    <w:rsid w:val="00F37990"/>
    <w:rsid w:val="00F715C8"/>
    <w:rsid w:val="00F75E4E"/>
    <w:rsid w:val="00F93C79"/>
    <w:rsid w:val="00FB4B91"/>
    <w:rsid w:val="00FC366C"/>
    <w:rsid w:val="00FE4953"/>
    <w:rsid w:val="00FE55A6"/>
    <w:rsid w:val="00FF30D5"/>
    <w:rsid w:val="00FF7E5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CD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340"/>
  </w:style>
  <w:style w:type="paragraph" w:styleId="Heading1">
    <w:name w:val="heading 1"/>
    <w:basedOn w:val="Normal"/>
    <w:link w:val="Heading1Char"/>
    <w:uiPriority w:val="9"/>
    <w:qFormat/>
    <w:rsid w:val="009233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340"/>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923340"/>
    <w:rPr>
      <w:b/>
      <w:bCs/>
    </w:rPr>
  </w:style>
  <w:style w:type="paragraph" w:styleId="NormalWeb">
    <w:name w:val="Normal (Web)"/>
    <w:basedOn w:val="Normal"/>
    <w:uiPriority w:val="99"/>
    <w:unhideWhenUsed/>
    <w:rsid w:val="0092334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416C9"/>
    <w:rPr>
      <w:i/>
      <w:iCs/>
    </w:rPr>
  </w:style>
  <w:style w:type="paragraph" w:styleId="ListParagraph">
    <w:name w:val="List Paragraph"/>
    <w:basedOn w:val="Normal"/>
    <w:uiPriority w:val="34"/>
    <w:qFormat/>
    <w:rsid w:val="002404A9"/>
    <w:pPr>
      <w:spacing w:after="0" w:line="240" w:lineRule="auto"/>
      <w:ind w:left="720"/>
      <w:contextualSpacing/>
    </w:pPr>
    <w:rPr>
      <w:rFonts w:ascii="Times New Roman" w:eastAsiaTheme="minorEastAsia" w:hAnsi="Times New Roman" w:cs="Times New Roman"/>
      <w:lang w:eastAsia="en-IN"/>
    </w:rPr>
  </w:style>
  <w:style w:type="paragraph" w:styleId="Header">
    <w:name w:val="header"/>
    <w:basedOn w:val="Normal"/>
    <w:link w:val="HeaderChar"/>
    <w:uiPriority w:val="99"/>
    <w:unhideWhenUsed/>
    <w:rsid w:val="00A67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7D2"/>
  </w:style>
  <w:style w:type="paragraph" w:styleId="Footer">
    <w:name w:val="footer"/>
    <w:basedOn w:val="Normal"/>
    <w:link w:val="FooterChar"/>
    <w:uiPriority w:val="99"/>
    <w:unhideWhenUsed/>
    <w:rsid w:val="00A67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7D2"/>
  </w:style>
  <w:style w:type="paragraph" w:styleId="BalloonText">
    <w:name w:val="Balloon Text"/>
    <w:basedOn w:val="Normal"/>
    <w:link w:val="BalloonTextChar"/>
    <w:uiPriority w:val="99"/>
    <w:semiHidden/>
    <w:unhideWhenUsed/>
    <w:rsid w:val="00810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45"/>
    <w:rPr>
      <w:rFonts w:ascii="Segoe UI" w:hAnsi="Segoe UI" w:cs="Segoe UI"/>
      <w:sz w:val="18"/>
      <w:szCs w:val="18"/>
    </w:rPr>
  </w:style>
  <w:style w:type="paragraph" w:styleId="FootnoteText">
    <w:name w:val="footnote text"/>
    <w:basedOn w:val="Normal"/>
    <w:link w:val="FootnoteTextChar"/>
    <w:uiPriority w:val="99"/>
    <w:unhideWhenUsed/>
    <w:rsid w:val="00F93C79"/>
    <w:pPr>
      <w:spacing w:after="0" w:line="240" w:lineRule="auto"/>
    </w:pPr>
    <w:rPr>
      <w:rFonts w:ascii="Calibri" w:eastAsia="SimSun" w:hAnsi="Calibri" w:cs="Arial"/>
      <w:sz w:val="20"/>
      <w:szCs w:val="20"/>
      <w:lang w:val="en-AU" w:eastAsia="zh-CN"/>
    </w:rPr>
  </w:style>
  <w:style w:type="character" w:customStyle="1" w:styleId="FootnoteTextChar">
    <w:name w:val="Footnote Text Char"/>
    <w:basedOn w:val="DefaultParagraphFont"/>
    <w:link w:val="FootnoteText"/>
    <w:uiPriority w:val="99"/>
    <w:rsid w:val="00F93C79"/>
    <w:rPr>
      <w:rFonts w:ascii="Calibri" w:eastAsia="SimSun" w:hAnsi="Calibri" w:cs="Arial"/>
      <w:sz w:val="20"/>
      <w:szCs w:val="20"/>
      <w:lang w:val="en-AU" w:eastAsia="zh-CN"/>
    </w:rPr>
  </w:style>
  <w:style w:type="character" w:styleId="FootnoteReference">
    <w:name w:val="footnote reference"/>
    <w:uiPriority w:val="99"/>
    <w:unhideWhenUsed/>
    <w:rsid w:val="00F93C79"/>
    <w:rPr>
      <w:vertAlign w:val="superscript"/>
    </w:rPr>
  </w:style>
  <w:style w:type="paragraph" w:customStyle="1" w:styleId="uiqtextpara">
    <w:name w:val="ui_qtext_para"/>
    <w:basedOn w:val="Normal"/>
    <w:rsid w:val="00A6550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550C54"/>
  </w:style>
  <w:style w:type="character" w:customStyle="1" w:styleId="ssit">
    <w:name w:val="ss_it"/>
    <w:basedOn w:val="DefaultParagraphFont"/>
    <w:rsid w:val="00550C54"/>
  </w:style>
  <w:style w:type="character" w:styleId="Hyperlink">
    <w:name w:val="Hyperlink"/>
    <w:basedOn w:val="DefaultParagraphFont"/>
    <w:uiPriority w:val="99"/>
    <w:unhideWhenUsed/>
    <w:rsid w:val="006478C2"/>
    <w:rPr>
      <w:color w:val="0563C1" w:themeColor="hyperlink"/>
      <w:u w:val="single"/>
    </w:rPr>
  </w:style>
  <w:style w:type="character" w:customStyle="1" w:styleId="UnresolvedMention">
    <w:name w:val="Unresolved Mention"/>
    <w:basedOn w:val="DefaultParagraphFont"/>
    <w:uiPriority w:val="99"/>
    <w:semiHidden/>
    <w:unhideWhenUsed/>
    <w:rsid w:val="006478C2"/>
    <w:rPr>
      <w:color w:val="605E5C"/>
      <w:shd w:val="clear" w:color="auto" w:fill="E1DFDD"/>
    </w:rPr>
  </w:style>
  <w:style w:type="character" w:styleId="FollowedHyperlink">
    <w:name w:val="FollowedHyperlink"/>
    <w:basedOn w:val="DefaultParagraphFont"/>
    <w:uiPriority w:val="99"/>
    <w:semiHidden/>
    <w:unhideWhenUsed/>
    <w:rsid w:val="006478C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340"/>
  </w:style>
  <w:style w:type="paragraph" w:styleId="Heading1">
    <w:name w:val="heading 1"/>
    <w:basedOn w:val="Normal"/>
    <w:link w:val="Heading1Char"/>
    <w:uiPriority w:val="9"/>
    <w:qFormat/>
    <w:rsid w:val="009233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340"/>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923340"/>
    <w:rPr>
      <w:b/>
      <w:bCs/>
    </w:rPr>
  </w:style>
  <w:style w:type="paragraph" w:styleId="NormalWeb">
    <w:name w:val="Normal (Web)"/>
    <w:basedOn w:val="Normal"/>
    <w:uiPriority w:val="99"/>
    <w:unhideWhenUsed/>
    <w:rsid w:val="0092334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416C9"/>
    <w:rPr>
      <w:i/>
      <w:iCs/>
    </w:rPr>
  </w:style>
  <w:style w:type="paragraph" w:styleId="ListParagraph">
    <w:name w:val="List Paragraph"/>
    <w:basedOn w:val="Normal"/>
    <w:uiPriority w:val="34"/>
    <w:qFormat/>
    <w:rsid w:val="002404A9"/>
    <w:pPr>
      <w:spacing w:after="0" w:line="240" w:lineRule="auto"/>
      <w:ind w:left="720"/>
      <w:contextualSpacing/>
    </w:pPr>
    <w:rPr>
      <w:rFonts w:ascii="Times New Roman" w:eastAsiaTheme="minorEastAsia" w:hAnsi="Times New Roman" w:cs="Times New Roman"/>
      <w:lang w:eastAsia="en-IN"/>
    </w:rPr>
  </w:style>
  <w:style w:type="paragraph" w:styleId="Header">
    <w:name w:val="header"/>
    <w:basedOn w:val="Normal"/>
    <w:link w:val="HeaderChar"/>
    <w:uiPriority w:val="99"/>
    <w:unhideWhenUsed/>
    <w:rsid w:val="00A67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7D2"/>
  </w:style>
  <w:style w:type="paragraph" w:styleId="Footer">
    <w:name w:val="footer"/>
    <w:basedOn w:val="Normal"/>
    <w:link w:val="FooterChar"/>
    <w:uiPriority w:val="99"/>
    <w:unhideWhenUsed/>
    <w:rsid w:val="00A67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7D2"/>
  </w:style>
  <w:style w:type="paragraph" w:styleId="BalloonText">
    <w:name w:val="Balloon Text"/>
    <w:basedOn w:val="Normal"/>
    <w:link w:val="BalloonTextChar"/>
    <w:uiPriority w:val="99"/>
    <w:semiHidden/>
    <w:unhideWhenUsed/>
    <w:rsid w:val="00810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45"/>
    <w:rPr>
      <w:rFonts w:ascii="Segoe UI" w:hAnsi="Segoe UI" w:cs="Segoe UI"/>
      <w:sz w:val="18"/>
      <w:szCs w:val="18"/>
    </w:rPr>
  </w:style>
  <w:style w:type="paragraph" w:styleId="FootnoteText">
    <w:name w:val="footnote text"/>
    <w:basedOn w:val="Normal"/>
    <w:link w:val="FootnoteTextChar"/>
    <w:uiPriority w:val="99"/>
    <w:unhideWhenUsed/>
    <w:rsid w:val="00F93C79"/>
    <w:pPr>
      <w:spacing w:after="0" w:line="240" w:lineRule="auto"/>
    </w:pPr>
    <w:rPr>
      <w:rFonts w:ascii="Calibri" w:eastAsia="SimSun" w:hAnsi="Calibri" w:cs="Arial"/>
      <w:sz w:val="20"/>
      <w:szCs w:val="20"/>
      <w:lang w:val="en-AU" w:eastAsia="zh-CN"/>
    </w:rPr>
  </w:style>
  <w:style w:type="character" w:customStyle="1" w:styleId="FootnoteTextChar">
    <w:name w:val="Footnote Text Char"/>
    <w:basedOn w:val="DefaultParagraphFont"/>
    <w:link w:val="FootnoteText"/>
    <w:uiPriority w:val="99"/>
    <w:rsid w:val="00F93C79"/>
    <w:rPr>
      <w:rFonts w:ascii="Calibri" w:eastAsia="SimSun" w:hAnsi="Calibri" w:cs="Arial"/>
      <w:sz w:val="20"/>
      <w:szCs w:val="20"/>
      <w:lang w:val="en-AU" w:eastAsia="zh-CN"/>
    </w:rPr>
  </w:style>
  <w:style w:type="character" w:styleId="FootnoteReference">
    <w:name w:val="footnote reference"/>
    <w:uiPriority w:val="99"/>
    <w:unhideWhenUsed/>
    <w:rsid w:val="00F93C79"/>
    <w:rPr>
      <w:vertAlign w:val="superscript"/>
    </w:rPr>
  </w:style>
  <w:style w:type="paragraph" w:customStyle="1" w:styleId="uiqtextpara">
    <w:name w:val="ui_qtext_para"/>
    <w:basedOn w:val="Normal"/>
    <w:rsid w:val="00A6550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550C54"/>
  </w:style>
  <w:style w:type="character" w:customStyle="1" w:styleId="ssit">
    <w:name w:val="ss_it"/>
    <w:basedOn w:val="DefaultParagraphFont"/>
    <w:rsid w:val="00550C54"/>
  </w:style>
  <w:style w:type="character" w:styleId="Hyperlink">
    <w:name w:val="Hyperlink"/>
    <w:basedOn w:val="DefaultParagraphFont"/>
    <w:uiPriority w:val="99"/>
    <w:unhideWhenUsed/>
    <w:rsid w:val="006478C2"/>
    <w:rPr>
      <w:color w:val="0563C1" w:themeColor="hyperlink"/>
      <w:u w:val="single"/>
    </w:rPr>
  </w:style>
  <w:style w:type="character" w:customStyle="1" w:styleId="UnresolvedMention">
    <w:name w:val="Unresolved Mention"/>
    <w:basedOn w:val="DefaultParagraphFont"/>
    <w:uiPriority w:val="99"/>
    <w:semiHidden/>
    <w:unhideWhenUsed/>
    <w:rsid w:val="006478C2"/>
    <w:rPr>
      <w:color w:val="605E5C"/>
      <w:shd w:val="clear" w:color="auto" w:fill="E1DFDD"/>
    </w:rPr>
  </w:style>
  <w:style w:type="character" w:styleId="FollowedHyperlink">
    <w:name w:val="FollowedHyperlink"/>
    <w:basedOn w:val="DefaultParagraphFont"/>
    <w:uiPriority w:val="99"/>
    <w:semiHidden/>
    <w:unhideWhenUsed/>
    <w:rsid w:val="00647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9788">
      <w:bodyDiv w:val="1"/>
      <w:marLeft w:val="0"/>
      <w:marRight w:val="0"/>
      <w:marTop w:val="0"/>
      <w:marBottom w:val="0"/>
      <w:divBdr>
        <w:top w:val="none" w:sz="0" w:space="0" w:color="auto"/>
        <w:left w:val="none" w:sz="0" w:space="0" w:color="auto"/>
        <w:bottom w:val="none" w:sz="0" w:space="0" w:color="auto"/>
        <w:right w:val="none" w:sz="0" w:space="0" w:color="auto"/>
      </w:divBdr>
    </w:div>
    <w:div w:id="183322862">
      <w:bodyDiv w:val="1"/>
      <w:marLeft w:val="0"/>
      <w:marRight w:val="0"/>
      <w:marTop w:val="0"/>
      <w:marBottom w:val="0"/>
      <w:divBdr>
        <w:top w:val="none" w:sz="0" w:space="0" w:color="auto"/>
        <w:left w:val="none" w:sz="0" w:space="0" w:color="auto"/>
        <w:bottom w:val="none" w:sz="0" w:space="0" w:color="auto"/>
        <w:right w:val="none" w:sz="0" w:space="0" w:color="auto"/>
      </w:divBdr>
    </w:div>
    <w:div w:id="474638865">
      <w:bodyDiv w:val="1"/>
      <w:marLeft w:val="0"/>
      <w:marRight w:val="0"/>
      <w:marTop w:val="0"/>
      <w:marBottom w:val="0"/>
      <w:divBdr>
        <w:top w:val="none" w:sz="0" w:space="0" w:color="auto"/>
        <w:left w:val="none" w:sz="0" w:space="0" w:color="auto"/>
        <w:bottom w:val="none" w:sz="0" w:space="0" w:color="auto"/>
        <w:right w:val="none" w:sz="0" w:space="0" w:color="auto"/>
      </w:divBdr>
    </w:div>
    <w:div w:id="502739341">
      <w:bodyDiv w:val="1"/>
      <w:marLeft w:val="0"/>
      <w:marRight w:val="0"/>
      <w:marTop w:val="0"/>
      <w:marBottom w:val="0"/>
      <w:divBdr>
        <w:top w:val="none" w:sz="0" w:space="0" w:color="auto"/>
        <w:left w:val="none" w:sz="0" w:space="0" w:color="auto"/>
        <w:bottom w:val="none" w:sz="0" w:space="0" w:color="auto"/>
        <w:right w:val="none" w:sz="0" w:space="0" w:color="auto"/>
      </w:divBdr>
    </w:div>
    <w:div w:id="815755502">
      <w:bodyDiv w:val="1"/>
      <w:marLeft w:val="0"/>
      <w:marRight w:val="0"/>
      <w:marTop w:val="0"/>
      <w:marBottom w:val="0"/>
      <w:divBdr>
        <w:top w:val="none" w:sz="0" w:space="0" w:color="auto"/>
        <w:left w:val="none" w:sz="0" w:space="0" w:color="auto"/>
        <w:bottom w:val="none" w:sz="0" w:space="0" w:color="auto"/>
        <w:right w:val="none" w:sz="0" w:space="0" w:color="auto"/>
      </w:divBdr>
    </w:div>
    <w:div w:id="873690085">
      <w:bodyDiv w:val="1"/>
      <w:marLeft w:val="0"/>
      <w:marRight w:val="0"/>
      <w:marTop w:val="0"/>
      <w:marBottom w:val="0"/>
      <w:divBdr>
        <w:top w:val="none" w:sz="0" w:space="0" w:color="auto"/>
        <w:left w:val="none" w:sz="0" w:space="0" w:color="auto"/>
        <w:bottom w:val="none" w:sz="0" w:space="0" w:color="auto"/>
        <w:right w:val="none" w:sz="0" w:space="0" w:color="auto"/>
      </w:divBdr>
    </w:div>
    <w:div w:id="956058974">
      <w:bodyDiv w:val="1"/>
      <w:marLeft w:val="0"/>
      <w:marRight w:val="0"/>
      <w:marTop w:val="0"/>
      <w:marBottom w:val="0"/>
      <w:divBdr>
        <w:top w:val="none" w:sz="0" w:space="0" w:color="auto"/>
        <w:left w:val="none" w:sz="0" w:space="0" w:color="auto"/>
        <w:bottom w:val="none" w:sz="0" w:space="0" w:color="auto"/>
        <w:right w:val="none" w:sz="0" w:space="0" w:color="auto"/>
      </w:divBdr>
    </w:div>
    <w:div w:id="1632900100">
      <w:bodyDiv w:val="1"/>
      <w:marLeft w:val="0"/>
      <w:marRight w:val="0"/>
      <w:marTop w:val="0"/>
      <w:marBottom w:val="0"/>
      <w:divBdr>
        <w:top w:val="none" w:sz="0" w:space="0" w:color="auto"/>
        <w:left w:val="none" w:sz="0" w:space="0" w:color="auto"/>
        <w:bottom w:val="none" w:sz="0" w:space="0" w:color="auto"/>
        <w:right w:val="none" w:sz="0" w:space="0" w:color="auto"/>
      </w:divBdr>
    </w:div>
    <w:div w:id="1713993796">
      <w:bodyDiv w:val="1"/>
      <w:marLeft w:val="0"/>
      <w:marRight w:val="0"/>
      <w:marTop w:val="0"/>
      <w:marBottom w:val="0"/>
      <w:divBdr>
        <w:top w:val="none" w:sz="0" w:space="0" w:color="auto"/>
        <w:left w:val="none" w:sz="0" w:space="0" w:color="auto"/>
        <w:bottom w:val="none" w:sz="0" w:space="0" w:color="auto"/>
        <w:right w:val="none" w:sz="0" w:space="0" w:color="auto"/>
      </w:divBdr>
      <w:divsChild>
        <w:div w:id="660546235">
          <w:marLeft w:val="0"/>
          <w:marRight w:val="0"/>
          <w:marTop w:val="0"/>
          <w:marBottom w:val="0"/>
          <w:divBdr>
            <w:top w:val="none" w:sz="0" w:space="0" w:color="auto"/>
            <w:left w:val="none" w:sz="0" w:space="0" w:color="auto"/>
            <w:bottom w:val="none" w:sz="0" w:space="0" w:color="auto"/>
            <w:right w:val="none" w:sz="0" w:space="0" w:color="auto"/>
          </w:divBdr>
          <w:divsChild>
            <w:div w:id="927471038">
              <w:marLeft w:val="0"/>
              <w:marRight w:val="0"/>
              <w:marTop w:val="0"/>
              <w:marBottom w:val="0"/>
              <w:divBdr>
                <w:top w:val="none" w:sz="0" w:space="0" w:color="auto"/>
                <w:left w:val="none" w:sz="0" w:space="0" w:color="auto"/>
                <w:bottom w:val="none" w:sz="0" w:space="0" w:color="auto"/>
                <w:right w:val="none" w:sz="0" w:space="0" w:color="auto"/>
              </w:divBdr>
              <w:divsChild>
                <w:div w:id="3079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8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591279/" TargetMode="External"/><Relationship Id="rId13" Type="http://schemas.openxmlformats.org/officeDocument/2006/relationships/hyperlink" Target="https://indiankanoon.org/doc/172594902/"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ndiankanoon.org/doc/6424416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diankanoon.org/doc/3162101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diankanoon.org/doc/3544339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diankanoon.org/doc/136518863/" TargetMode="External"/><Relationship Id="rId23" Type="http://schemas.openxmlformats.org/officeDocument/2006/relationships/fontTable" Target="fontTable.xml"/><Relationship Id="rId10" Type="http://schemas.openxmlformats.org/officeDocument/2006/relationships/hyperlink" Target="https://indiankanoon.org/doc/13148926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diankanoon.org/doc/131260120/" TargetMode="External"/><Relationship Id="rId14" Type="http://schemas.openxmlformats.org/officeDocument/2006/relationships/hyperlink" Target="https://indiankanoon.org/doc/81357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5243</Words>
  <Characters>29889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kblintos kblintos</dc:creator>
  <cp:lastModifiedBy>Girish</cp:lastModifiedBy>
  <cp:revision>4</cp:revision>
  <cp:lastPrinted>2019-12-04T05:28:00Z</cp:lastPrinted>
  <dcterms:created xsi:type="dcterms:W3CDTF">2020-07-02T02:58:00Z</dcterms:created>
  <dcterms:modified xsi:type="dcterms:W3CDTF">2020-07-02T03:08:00Z</dcterms:modified>
</cp:coreProperties>
</file>